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1C03" w14:textId="77777777" w:rsidR="00C4500C" w:rsidRPr="00D7627A" w:rsidRDefault="00D7627A" w:rsidP="00E605F1">
      <w:pPr>
        <w:pStyle w:val="TextosemFormatao"/>
        <w:spacing w:beforeAutospacing="0" w:afterAutospacing="0"/>
        <w:ind w:right="-1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627A">
        <w:rPr>
          <w:rFonts w:ascii="Times New Roman" w:hAnsi="Times New Roman"/>
          <w:b/>
          <w:sz w:val="22"/>
          <w:szCs w:val="24"/>
          <w:lang w:val="pt-BR"/>
        </w:rPr>
        <w:t xml:space="preserve">AVALIAÇÃO DA COBERTURA VEGETAL </w:t>
      </w:r>
      <w:r w:rsidR="00F70012">
        <w:rPr>
          <w:rFonts w:ascii="Times New Roman" w:hAnsi="Times New Roman"/>
          <w:b/>
          <w:bCs/>
          <w:sz w:val="22"/>
          <w:szCs w:val="24"/>
          <w:lang w:val="pt-BR" w:eastAsia="pt-BR"/>
        </w:rPr>
        <w:t>DA</w:t>
      </w:r>
      <w:r w:rsidR="00F70012" w:rsidRPr="00D7627A">
        <w:rPr>
          <w:rFonts w:ascii="Times New Roman" w:hAnsi="Times New Roman"/>
          <w:b/>
          <w:bCs/>
          <w:sz w:val="22"/>
          <w:szCs w:val="24"/>
          <w:lang w:val="pt-BR" w:eastAsia="pt-BR"/>
        </w:rPr>
        <w:t xml:space="preserve"> </w:t>
      </w:r>
      <w:r w:rsidRPr="00D7627A">
        <w:rPr>
          <w:rFonts w:ascii="Times New Roman" w:hAnsi="Times New Roman"/>
          <w:b/>
          <w:bCs/>
          <w:sz w:val="22"/>
          <w:szCs w:val="24"/>
          <w:lang w:val="pt-BR" w:eastAsia="pt-BR"/>
        </w:rPr>
        <w:t xml:space="preserve">BACIA </w:t>
      </w:r>
      <w:r w:rsidRPr="00D7627A">
        <w:rPr>
          <w:rFonts w:ascii="Times New Roman" w:hAnsi="Times New Roman"/>
          <w:b/>
          <w:sz w:val="22"/>
          <w:szCs w:val="24"/>
          <w:lang w:val="pt-BR"/>
        </w:rPr>
        <w:t>HIDROGRÁFICA</w:t>
      </w:r>
      <w:r w:rsidRPr="00D7627A">
        <w:rPr>
          <w:rFonts w:ascii="Times New Roman" w:hAnsi="Times New Roman"/>
          <w:b/>
          <w:bCs/>
          <w:sz w:val="22"/>
          <w:szCs w:val="24"/>
          <w:lang w:val="pt-BR" w:eastAsia="pt-BR"/>
        </w:rPr>
        <w:t xml:space="preserve"> DO RIO SUCURU-PB </w:t>
      </w:r>
      <w:r w:rsidRPr="00D7627A">
        <w:rPr>
          <w:rFonts w:ascii="Times New Roman" w:hAnsi="Times New Roman"/>
          <w:b/>
          <w:sz w:val="22"/>
          <w:szCs w:val="24"/>
          <w:lang w:val="pt-BR"/>
        </w:rPr>
        <w:t>UTILIZANDO O GOOGLE EARTH ENGINE</w:t>
      </w:r>
    </w:p>
    <w:p w14:paraId="6DC37050" w14:textId="77777777" w:rsidR="00BF1A84" w:rsidRPr="00206DD8" w:rsidRDefault="00BF1A84" w:rsidP="002D7202">
      <w:pPr>
        <w:pStyle w:val="TextosemFormatao"/>
        <w:spacing w:beforeAutospacing="0" w:afterAutospacing="0"/>
        <w:ind w:right="-518"/>
        <w:jc w:val="center"/>
        <w:rPr>
          <w:rFonts w:ascii="Times New Roman" w:hAnsi="Times New Roman"/>
          <w:b/>
          <w:sz w:val="20"/>
          <w:szCs w:val="24"/>
          <w:lang w:val="pt-BR"/>
        </w:rPr>
      </w:pPr>
    </w:p>
    <w:p w14:paraId="7DB89A01" w14:textId="77777777" w:rsidR="00F70012" w:rsidRDefault="003C04FA" w:rsidP="00E605F1">
      <w:pPr>
        <w:ind w:right="-1"/>
        <w:jc w:val="center"/>
      </w:pPr>
      <w:r>
        <w:rPr>
          <w:szCs w:val="22"/>
        </w:rPr>
        <w:t>JOSÉ</w:t>
      </w:r>
      <w:r w:rsidR="00F44D09" w:rsidRPr="00F44D09">
        <w:rPr>
          <w:szCs w:val="22"/>
        </w:rPr>
        <w:t xml:space="preserve"> HUGO SIMPLICIO DE SOUSA</w:t>
      </w:r>
      <w:r w:rsidR="006D69DB" w:rsidRPr="00F44D09">
        <w:rPr>
          <w:szCs w:val="22"/>
          <w:vertAlign w:val="superscript"/>
        </w:rPr>
        <w:t>1</w:t>
      </w:r>
      <w:r w:rsidR="0020459D">
        <w:t xml:space="preserve">, </w:t>
      </w:r>
      <w:r w:rsidR="00F44D09">
        <w:t>GEORGE DO NASCIMENTO RIBEIRO</w:t>
      </w:r>
      <w:r w:rsidR="00DA381B" w:rsidRPr="0020459D">
        <w:rPr>
          <w:vertAlign w:val="superscript"/>
        </w:rPr>
        <w:t>2</w:t>
      </w:r>
      <w:r w:rsidR="0020459D">
        <w:t>,</w:t>
      </w:r>
    </w:p>
    <w:p w14:paraId="1252F5F0" w14:textId="77777777" w:rsidR="002036C1" w:rsidRDefault="00F44D09" w:rsidP="00E605F1">
      <w:pPr>
        <w:ind w:right="-1"/>
        <w:jc w:val="center"/>
      </w:pPr>
      <w:r w:rsidRPr="0020459D">
        <w:t>PAULO ROBERTO MEGNA FRANCISCO</w:t>
      </w:r>
      <w:r w:rsidR="00DA381B" w:rsidRPr="0020459D">
        <w:rPr>
          <w:vertAlign w:val="superscript"/>
        </w:rPr>
        <w:t>3</w:t>
      </w:r>
      <w:r w:rsidR="007A15B5">
        <w:t>; JARLEAN LOPES NÓBREGA</w:t>
      </w:r>
      <w:r w:rsidR="007A15B5">
        <w:rPr>
          <w:vertAlign w:val="superscript"/>
        </w:rPr>
        <w:t>4</w:t>
      </w:r>
      <w:r w:rsidR="007A15B5">
        <w:t xml:space="preserve">; </w:t>
      </w:r>
    </w:p>
    <w:p w14:paraId="2DF91CC3" w14:textId="6BAE21C8" w:rsidR="00367E45" w:rsidRPr="007A15B5" w:rsidRDefault="007A15B5" w:rsidP="00E605F1">
      <w:pPr>
        <w:ind w:right="-1"/>
        <w:jc w:val="center"/>
        <w:rPr>
          <w:vertAlign w:val="superscript"/>
        </w:rPr>
      </w:pPr>
      <w:r>
        <w:t>OSMAR ANTÔNIO DA SILVA JÚNIOR</w:t>
      </w:r>
      <w:r>
        <w:rPr>
          <w:vertAlign w:val="superscript"/>
        </w:rPr>
        <w:t>5</w:t>
      </w:r>
    </w:p>
    <w:p w14:paraId="48D13D2E" w14:textId="77777777" w:rsidR="00367E45" w:rsidRPr="00206DD8" w:rsidRDefault="00367E45" w:rsidP="00380272">
      <w:pPr>
        <w:ind w:right="-518"/>
        <w:jc w:val="center"/>
      </w:pPr>
    </w:p>
    <w:p w14:paraId="1E24ED79" w14:textId="77777777" w:rsidR="00E74C1E" w:rsidRPr="00446D3A" w:rsidRDefault="0094773C" w:rsidP="00F44D09">
      <w:pPr>
        <w:jc w:val="center"/>
        <w:rPr>
          <w:rStyle w:val="Hyperlink"/>
          <w:color w:val="auto"/>
          <w:u w:val="none"/>
        </w:rPr>
      </w:pPr>
      <w:r w:rsidRPr="00446D3A">
        <w:rPr>
          <w:vertAlign w:val="superscript"/>
        </w:rPr>
        <w:t>1</w:t>
      </w:r>
      <w:r w:rsidR="00F44D09">
        <w:t xml:space="preserve">Graduando em Eng. de Biossistemas, </w:t>
      </w:r>
      <w:r w:rsidR="00F44D09" w:rsidRPr="001D4BDF">
        <w:t xml:space="preserve">UFCG, </w:t>
      </w:r>
      <w:r w:rsidR="00F44D09">
        <w:t>Sumé</w:t>
      </w:r>
      <w:r w:rsidR="00F44D09" w:rsidRPr="001D4BDF">
        <w:t xml:space="preserve">-PB, </w:t>
      </w:r>
      <w:r w:rsidR="00F44D09">
        <w:t>jose.hugo@estudante.ufcg.edu.br</w:t>
      </w:r>
    </w:p>
    <w:p w14:paraId="09B6F3AE" w14:textId="77777777" w:rsidR="00F44D09" w:rsidRPr="00E95C52" w:rsidRDefault="00F44D09" w:rsidP="00F44D09">
      <w:pPr>
        <w:jc w:val="center"/>
        <w:rPr>
          <w:szCs w:val="22"/>
          <w:lang w:val="en-US"/>
        </w:rPr>
      </w:pPr>
      <w:r w:rsidRPr="00E0527E">
        <w:rPr>
          <w:szCs w:val="22"/>
          <w:vertAlign w:val="superscript"/>
          <w:lang w:val="en-US"/>
        </w:rPr>
        <w:t>2</w:t>
      </w:r>
      <w:r w:rsidRPr="00E0527E">
        <w:rPr>
          <w:szCs w:val="22"/>
          <w:lang w:val="en-US"/>
        </w:rPr>
        <w:t xml:space="preserve">Eng. Agron. </w:t>
      </w:r>
      <w:r w:rsidRPr="00E95C52">
        <w:rPr>
          <w:szCs w:val="22"/>
          <w:lang w:val="en-US"/>
        </w:rPr>
        <w:t>Dr. Prof</w:t>
      </w:r>
      <w:r w:rsidRPr="0087695B">
        <w:rPr>
          <w:lang w:val="en-US"/>
        </w:rPr>
        <w:t xml:space="preserve">., </w:t>
      </w:r>
      <w:r w:rsidRPr="0087695B">
        <w:rPr>
          <w:szCs w:val="22"/>
          <w:lang w:val="en-US"/>
        </w:rPr>
        <w:t>UFCG, Sumé-PB</w:t>
      </w:r>
      <w:r w:rsidRPr="0087695B">
        <w:rPr>
          <w:lang w:val="en-US"/>
        </w:rPr>
        <w:t>, george.nascimento@professor.ufcg.edu.br</w:t>
      </w:r>
    </w:p>
    <w:p w14:paraId="4AAF20F1" w14:textId="77777777" w:rsidR="007A15B5" w:rsidRDefault="00F44D09" w:rsidP="007A15B5">
      <w:pPr>
        <w:jc w:val="center"/>
      </w:pPr>
      <w:r w:rsidRPr="0093445C">
        <w:rPr>
          <w:vertAlign w:val="superscript"/>
        </w:rPr>
        <w:t>3</w:t>
      </w:r>
      <w:r>
        <w:t xml:space="preserve">Doutorando em Eng. e Gestão de Recursos Naturais, </w:t>
      </w:r>
      <w:r w:rsidRPr="001D4BDF">
        <w:t xml:space="preserve">UFCG, Campina Grande-PB, </w:t>
      </w:r>
      <w:r w:rsidR="007A15B5" w:rsidRPr="007A15B5">
        <w:t>paulomegna@gmail.com</w:t>
      </w:r>
    </w:p>
    <w:p w14:paraId="3B8FA960" w14:textId="77777777" w:rsidR="007A15B5" w:rsidRDefault="007A15B5" w:rsidP="007A15B5">
      <w:pPr>
        <w:jc w:val="center"/>
      </w:pPr>
      <w:r>
        <w:rPr>
          <w:vertAlign w:val="superscript"/>
        </w:rPr>
        <w:t>4</w:t>
      </w:r>
      <w:r>
        <w:t xml:space="preserve">Graduando em Eng. de Biossistemas, </w:t>
      </w:r>
      <w:r w:rsidRPr="001D4BDF">
        <w:t xml:space="preserve">UFCG, </w:t>
      </w:r>
      <w:r>
        <w:t>Sumé</w:t>
      </w:r>
      <w:r w:rsidRPr="001D4BDF">
        <w:t xml:space="preserve">-PB, </w:t>
      </w:r>
      <w:r>
        <w:t>jarlean</w:t>
      </w:r>
      <w:r w:rsidRPr="007A15B5">
        <w:t>.</w:t>
      </w:r>
      <w:r>
        <w:t>lopes</w:t>
      </w:r>
      <w:r w:rsidRPr="007A15B5">
        <w:t>@estudante.ufcg.edu.br</w:t>
      </w:r>
    </w:p>
    <w:p w14:paraId="116189F7" w14:textId="77777777" w:rsidR="007A15B5" w:rsidRPr="0093445C" w:rsidRDefault="007A15B5" w:rsidP="007A15B5">
      <w:pPr>
        <w:jc w:val="center"/>
      </w:pPr>
      <w:r>
        <w:rPr>
          <w:vertAlign w:val="superscript"/>
        </w:rPr>
        <w:t>5</w:t>
      </w:r>
      <w:r>
        <w:t xml:space="preserve">Graduando em Eng. de Biossistemas, </w:t>
      </w:r>
      <w:r w:rsidRPr="001D4BDF">
        <w:t xml:space="preserve">UFCG, </w:t>
      </w:r>
      <w:r>
        <w:t>Sumé</w:t>
      </w:r>
      <w:r w:rsidRPr="001D4BDF">
        <w:t xml:space="preserve">-PB, </w:t>
      </w:r>
      <w:r>
        <w:t>osmar.antonio@estudante.ufcg.edu.br</w:t>
      </w:r>
    </w:p>
    <w:p w14:paraId="65F68426" w14:textId="77777777" w:rsidR="00E56BE7" w:rsidRPr="00206DD8" w:rsidRDefault="00E56BE7" w:rsidP="00E56BE7">
      <w:pPr>
        <w:jc w:val="center"/>
        <w:rPr>
          <w:szCs w:val="22"/>
        </w:rPr>
      </w:pPr>
    </w:p>
    <w:p w14:paraId="3D388138" w14:textId="77777777" w:rsidR="001E5D40" w:rsidRPr="00446D3A" w:rsidRDefault="001E5D40" w:rsidP="001E5D40">
      <w:pPr>
        <w:jc w:val="center"/>
        <w:rPr>
          <w:sz w:val="22"/>
          <w:szCs w:val="22"/>
        </w:rPr>
      </w:pPr>
      <w:r w:rsidRPr="00446D3A">
        <w:rPr>
          <w:sz w:val="22"/>
          <w:szCs w:val="22"/>
        </w:rPr>
        <w:t xml:space="preserve">Apresentado no            </w:t>
      </w:r>
    </w:p>
    <w:p w14:paraId="3BC20BE6" w14:textId="77777777" w:rsidR="001E5D40" w:rsidRPr="00446D3A" w:rsidRDefault="001E5D40" w:rsidP="001E5D40">
      <w:pPr>
        <w:jc w:val="center"/>
        <w:rPr>
          <w:sz w:val="22"/>
          <w:szCs w:val="22"/>
        </w:rPr>
      </w:pPr>
      <w:r w:rsidRPr="00446D3A">
        <w:rPr>
          <w:sz w:val="22"/>
          <w:szCs w:val="22"/>
        </w:rPr>
        <w:t>Congresso Técnico Científico da Enge</w:t>
      </w:r>
      <w:r>
        <w:rPr>
          <w:sz w:val="22"/>
          <w:szCs w:val="22"/>
        </w:rPr>
        <w:t>nharia e da Agronomia – CONTECC</w:t>
      </w:r>
    </w:p>
    <w:p w14:paraId="1E4F4622" w14:textId="77777777" w:rsidR="00E74C1E" w:rsidRDefault="001E5D40" w:rsidP="001E5D40">
      <w:pPr>
        <w:jc w:val="center"/>
        <w:rPr>
          <w:sz w:val="22"/>
          <w:szCs w:val="22"/>
        </w:rPr>
      </w:pPr>
      <w:r>
        <w:rPr>
          <w:sz w:val="22"/>
          <w:szCs w:val="22"/>
        </w:rPr>
        <w:t>8 a 11 de agosto de 2023</w:t>
      </w:r>
    </w:p>
    <w:p w14:paraId="62423614" w14:textId="77777777" w:rsidR="001E5D40" w:rsidRPr="00206DD8" w:rsidRDefault="001E5D40" w:rsidP="001E5D40">
      <w:pPr>
        <w:jc w:val="center"/>
        <w:rPr>
          <w:szCs w:val="22"/>
        </w:rPr>
      </w:pPr>
    </w:p>
    <w:p w14:paraId="21219228" w14:textId="77777777" w:rsidR="00401337" w:rsidRDefault="00E74C1E" w:rsidP="006A044B">
      <w:pPr>
        <w:jc w:val="both"/>
        <w:rPr>
          <w:sz w:val="22"/>
          <w:szCs w:val="22"/>
        </w:rPr>
      </w:pPr>
      <w:r w:rsidRPr="00446D3A">
        <w:rPr>
          <w:b/>
          <w:sz w:val="22"/>
          <w:szCs w:val="22"/>
        </w:rPr>
        <w:t>RESUMO</w:t>
      </w:r>
      <w:r w:rsidRPr="00446D3A">
        <w:rPr>
          <w:sz w:val="22"/>
          <w:szCs w:val="22"/>
        </w:rPr>
        <w:t xml:space="preserve">: </w:t>
      </w:r>
      <w:r w:rsidR="00D7627A" w:rsidRPr="00D7627A">
        <w:rPr>
          <w:sz w:val="22"/>
        </w:rPr>
        <w:t xml:space="preserve">O sensoriamento remoto e os índices de vegetação, são </w:t>
      </w:r>
      <w:r w:rsidR="00D7627A" w:rsidRPr="00D7627A">
        <w:rPr>
          <w:sz w:val="22"/>
          <w:shd w:val="clear" w:color="auto" w:fill="FFFFFF"/>
        </w:rPr>
        <w:t xml:space="preserve">ferramentas </w:t>
      </w:r>
      <w:r w:rsidR="00D7627A" w:rsidRPr="00D7627A">
        <w:rPr>
          <w:bCs/>
          <w:sz w:val="22"/>
          <w:shd w:val="clear" w:color="auto" w:fill="FFFFFF"/>
        </w:rPr>
        <w:t>importantes na</w:t>
      </w:r>
      <w:r w:rsidR="00D7627A" w:rsidRPr="00D7627A">
        <w:rPr>
          <w:sz w:val="22"/>
          <w:shd w:val="clear" w:color="auto" w:fill="FFFFFF"/>
        </w:rPr>
        <w:t xml:space="preserve"> análise ambiental</w:t>
      </w:r>
      <w:r w:rsidR="00D7627A" w:rsidRPr="00D7627A">
        <w:rPr>
          <w:bCs/>
          <w:sz w:val="22"/>
          <w:shd w:val="clear" w:color="auto" w:fill="FFFFFF"/>
        </w:rPr>
        <w:t xml:space="preserve">. O presente estudo visou utilizar a plataforma do Google Earth Engine (GEE) para </w:t>
      </w:r>
      <w:r w:rsidR="00D7627A" w:rsidRPr="00D7627A">
        <w:rPr>
          <w:sz w:val="22"/>
        </w:rPr>
        <w:t xml:space="preserve">avaliar a cobertura vegetal na bacia hidrográfica do rio Sucuru-PB, aplicando os índices Normalized Difference Vegetation Index (NDVI) e Soil Adjusted Vegetation Index (SAVI). O processamento das imagens e avaliação dos índices de vegetação, </w:t>
      </w:r>
      <w:r w:rsidR="00D7627A" w:rsidRPr="00D7627A">
        <w:rPr>
          <w:sz w:val="22"/>
          <w:shd w:val="clear" w:color="auto" w:fill="FFFFFF"/>
        </w:rPr>
        <w:t>ocorreram na plataforma do Google Earth Engine (GEE). Conforme os resultados alcançados de NDVI e SAVI para o período seco variaram de -0,08 a 0,40, -0,40 a 0,20, respectivamente, caracterizando assim, a existência de áreas de pastagem, arbustos e solo exposto, entretanto para o período chuvoso os índices NDVI e SAVI, variaram de -0,06 a 0,49, -0,01 a 0,24, respectivamente, caracterizando assim, a existência de vegetação mais densa, área construída e corpos d’água, evidenciado pelo o açude de Sumé-PB.</w:t>
      </w:r>
    </w:p>
    <w:p w14:paraId="1FF0C9CC" w14:textId="77777777" w:rsidR="005330E9" w:rsidRPr="00446D3A" w:rsidRDefault="00E74C1E" w:rsidP="006A044B">
      <w:pPr>
        <w:jc w:val="both"/>
        <w:rPr>
          <w:sz w:val="22"/>
          <w:szCs w:val="22"/>
        </w:rPr>
      </w:pPr>
      <w:r w:rsidRPr="00446D3A">
        <w:rPr>
          <w:b/>
          <w:sz w:val="22"/>
          <w:szCs w:val="22"/>
        </w:rPr>
        <w:t>PALAVRAS-CHAVE:</w:t>
      </w:r>
      <w:r w:rsidRPr="00446D3A">
        <w:rPr>
          <w:sz w:val="22"/>
          <w:szCs w:val="22"/>
        </w:rPr>
        <w:t xml:space="preserve"> </w:t>
      </w:r>
      <w:r w:rsidR="00D7627A" w:rsidRPr="00D7627A">
        <w:rPr>
          <w:sz w:val="22"/>
          <w:szCs w:val="22"/>
        </w:rPr>
        <w:t>E</w:t>
      </w:r>
      <w:r w:rsidR="00D7627A" w:rsidRPr="00D7627A">
        <w:rPr>
          <w:spacing w:val="-1"/>
          <w:sz w:val="22"/>
          <w:szCs w:val="22"/>
        </w:rPr>
        <w:t>studos ambientais</w:t>
      </w:r>
      <w:r w:rsidR="00D7627A" w:rsidRPr="00D7627A">
        <w:rPr>
          <w:sz w:val="22"/>
          <w:szCs w:val="22"/>
        </w:rPr>
        <w:t>,</w:t>
      </w:r>
      <w:r w:rsidR="00D7627A" w:rsidRPr="00D7627A">
        <w:rPr>
          <w:spacing w:val="-2"/>
          <w:sz w:val="22"/>
          <w:szCs w:val="22"/>
        </w:rPr>
        <w:t xml:space="preserve"> caatinga</w:t>
      </w:r>
      <w:r w:rsidR="00D7627A" w:rsidRPr="00D7627A">
        <w:rPr>
          <w:sz w:val="22"/>
          <w:szCs w:val="22"/>
        </w:rPr>
        <w:t>,</w:t>
      </w:r>
      <w:r w:rsidR="00D7627A" w:rsidRPr="00D7627A">
        <w:rPr>
          <w:spacing w:val="-2"/>
          <w:sz w:val="22"/>
          <w:szCs w:val="22"/>
        </w:rPr>
        <w:t xml:space="preserve"> geotecnologias</w:t>
      </w:r>
      <w:r w:rsidR="00D7627A" w:rsidRPr="00D7627A">
        <w:rPr>
          <w:sz w:val="22"/>
          <w:szCs w:val="22"/>
        </w:rPr>
        <w:t>.</w:t>
      </w:r>
    </w:p>
    <w:p w14:paraId="737A529A" w14:textId="77777777" w:rsidR="00E74C1E" w:rsidRPr="00206DD8" w:rsidRDefault="00E74C1E" w:rsidP="00380272">
      <w:pPr>
        <w:jc w:val="center"/>
        <w:rPr>
          <w:sz w:val="22"/>
          <w:szCs w:val="22"/>
        </w:rPr>
      </w:pPr>
    </w:p>
    <w:p w14:paraId="36BFC054" w14:textId="77777777" w:rsidR="00E1042F" w:rsidRPr="00D7627A" w:rsidRDefault="00414216" w:rsidP="006D7BEF">
      <w:pPr>
        <w:adjustRightInd w:val="0"/>
        <w:jc w:val="center"/>
        <w:rPr>
          <w:b/>
          <w:sz w:val="22"/>
          <w:szCs w:val="22"/>
          <w:lang w:val="en-US"/>
        </w:rPr>
      </w:pPr>
      <w:r w:rsidRPr="00414216">
        <w:rPr>
          <w:b/>
          <w:sz w:val="22"/>
          <w:lang w:val="en-US"/>
        </w:rPr>
        <w:t>EVALUATION OF THE VEGETATION COVER OF THE SUCURU-PB RIVER BASIN USING GOOGLE EARTH ENGINE</w:t>
      </w:r>
      <w:r w:rsidR="006D7BEF" w:rsidRPr="00D7627A">
        <w:rPr>
          <w:b/>
          <w:sz w:val="22"/>
          <w:szCs w:val="22"/>
          <w:lang w:val="en-US"/>
        </w:rPr>
        <w:t xml:space="preserve"> </w:t>
      </w:r>
    </w:p>
    <w:p w14:paraId="75421D05" w14:textId="77777777" w:rsidR="006D7BEF" w:rsidRPr="00637B4C" w:rsidRDefault="006D7BEF" w:rsidP="006D7BEF">
      <w:pPr>
        <w:tabs>
          <w:tab w:val="left" w:pos="6313"/>
        </w:tabs>
        <w:adjustRightInd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ab/>
      </w:r>
    </w:p>
    <w:p w14:paraId="0460461A" w14:textId="0A1A698C" w:rsidR="00A4006D" w:rsidRPr="008C436D" w:rsidRDefault="00E74C1E" w:rsidP="002B2B10">
      <w:pPr>
        <w:ind w:right="-1"/>
        <w:jc w:val="both"/>
        <w:rPr>
          <w:sz w:val="22"/>
          <w:szCs w:val="22"/>
          <w:lang w:val="en-US"/>
        </w:rPr>
      </w:pPr>
      <w:r w:rsidRPr="00637B4C">
        <w:rPr>
          <w:b/>
          <w:sz w:val="22"/>
          <w:szCs w:val="22"/>
          <w:lang w:val="en-US"/>
        </w:rPr>
        <w:t>ABSTRACT</w:t>
      </w:r>
      <w:r w:rsidRPr="00637B4C">
        <w:rPr>
          <w:sz w:val="22"/>
          <w:szCs w:val="22"/>
          <w:lang w:val="en-US"/>
        </w:rPr>
        <w:t xml:space="preserve">: </w:t>
      </w:r>
      <w:r w:rsidR="002B2B10" w:rsidRPr="002B2B10">
        <w:rPr>
          <w:sz w:val="22"/>
          <w:szCs w:val="22"/>
          <w:lang w:val="en-US"/>
        </w:rPr>
        <w:t xml:space="preserve">Remote sensing and vegetation indices are important tools in environmental analysis. The present study aimed to use the Google Earth Engine (GEE) platform to evaluate the vegetation cover in the </w:t>
      </w:r>
      <w:proofErr w:type="spellStart"/>
      <w:r w:rsidR="002B2B10" w:rsidRPr="002B2B10">
        <w:rPr>
          <w:sz w:val="22"/>
          <w:szCs w:val="22"/>
          <w:lang w:val="en-US"/>
        </w:rPr>
        <w:t>Sucuru</w:t>
      </w:r>
      <w:proofErr w:type="spellEnd"/>
      <w:r w:rsidR="002B2B10" w:rsidRPr="002B2B10">
        <w:rPr>
          <w:sz w:val="22"/>
          <w:szCs w:val="22"/>
          <w:lang w:val="en-US"/>
        </w:rPr>
        <w:t xml:space="preserve">-PB river basin, applying the Normalized Difference Vegetation Index (NDVI) and Soil Adjusted Vegetation Index (SAVI). </w:t>
      </w:r>
      <w:r w:rsidR="002036C1" w:rsidRPr="002036C1">
        <w:rPr>
          <w:sz w:val="22"/>
          <w:szCs w:val="22"/>
          <w:lang w:val="en-US"/>
        </w:rPr>
        <w:t>Image processing and evaluation of vegetation indices took place on the Google Earth Engine (GEE) platform</w:t>
      </w:r>
      <w:r w:rsidR="002B2B10" w:rsidRPr="002B2B10">
        <w:rPr>
          <w:sz w:val="22"/>
          <w:szCs w:val="22"/>
          <w:lang w:val="en-US"/>
        </w:rPr>
        <w:t xml:space="preserve">. </w:t>
      </w:r>
      <w:r w:rsidR="007A0EE3" w:rsidRPr="007A0EE3">
        <w:rPr>
          <w:sz w:val="22"/>
          <w:szCs w:val="22"/>
          <w:lang w:val="en-US"/>
        </w:rPr>
        <w:t xml:space="preserve">According to the NDVI and SAVI results achieved for the dry period, they ranged from -0.08 to 0.40, -0.40 to 0.20, respectively, thus characterizing the existence of pasture areas, bushes and exposed soil, however for the rainy season, the NDVI and SAVI indices ranged from -0.06 to 0.49, -0.01 to 0.24, respectively, thus characterizing the existence of denser vegetation, built-up area and water bodies, evidenced by the </w:t>
      </w:r>
      <w:proofErr w:type="spellStart"/>
      <w:r w:rsidR="007A0EE3" w:rsidRPr="007A0EE3">
        <w:rPr>
          <w:sz w:val="22"/>
          <w:szCs w:val="22"/>
          <w:lang w:val="en-US"/>
        </w:rPr>
        <w:t>Sumé</w:t>
      </w:r>
      <w:proofErr w:type="spellEnd"/>
      <w:r w:rsidR="007A0EE3" w:rsidRPr="007A0EE3">
        <w:rPr>
          <w:sz w:val="22"/>
          <w:szCs w:val="22"/>
          <w:lang w:val="en-US"/>
        </w:rPr>
        <w:t>-PB dam</w:t>
      </w:r>
      <w:r w:rsidR="002B2B10" w:rsidRPr="002B2B10">
        <w:rPr>
          <w:sz w:val="22"/>
          <w:szCs w:val="22"/>
          <w:lang w:val="en-US"/>
        </w:rPr>
        <w:t>.</w:t>
      </w:r>
    </w:p>
    <w:p w14:paraId="7C6DFB87" w14:textId="77777777" w:rsidR="00E74C1E" w:rsidRPr="00D7627A" w:rsidRDefault="00E74C1E" w:rsidP="00380272">
      <w:pPr>
        <w:ind w:right="-1"/>
        <w:jc w:val="both"/>
        <w:rPr>
          <w:sz w:val="22"/>
          <w:szCs w:val="22"/>
          <w:lang w:val="en-US"/>
        </w:rPr>
      </w:pPr>
      <w:r w:rsidRPr="00637B4C">
        <w:rPr>
          <w:b/>
          <w:sz w:val="22"/>
          <w:szCs w:val="22"/>
          <w:lang w:val="en-US"/>
        </w:rPr>
        <w:t>KEYWORDS:</w:t>
      </w:r>
      <w:r w:rsidRPr="00637B4C">
        <w:rPr>
          <w:sz w:val="22"/>
          <w:szCs w:val="22"/>
          <w:lang w:val="en-US"/>
        </w:rPr>
        <w:t xml:space="preserve"> </w:t>
      </w:r>
      <w:r w:rsidR="00D7627A" w:rsidRPr="00D7627A">
        <w:rPr>
          <w:spacing w:val="-2"/>
          <w:sz w:val="22"/>
          <w:lang w:val="en-US"/>
        </w:rPr>
        <w:t>E</w:t>
      </w:r>
      <w:r w:rsidR="00D7627A" w:rsidRPr="00D7627A">
        <w:rPr>
          <w:sz w:val="22"/>
          <w:lang w:val="en-US"/>
        </w:rPr>
        <w:t>nvironmental studies,</w:t>
      </w:r>
      <w:r w:rsidR="00D7627A" w:rsidRPr="00D7627A">
        <w:rPr>
          <w:spacing w:val="-4"/>
          <w:sz w:val="22"/>
          <w:lang w:val="en-US"/>
        </w:rPr>
        <w:t xml:space="preserve"> caatinga</w:t>
      </w:r>
      <w:r w:rsidR="00D7627A" w:rsidRPr="00D7627A">
        <w:rPr>
          <w:sz w:val="22"/>
          <w:lang w:val="en-US"/>
        </w:rPr>
        <w:t>,</w:t>
      </w:r>
      <w:r w:rsidR="00D7627A" w:rsidRPr="00D7627A">
        <w:rPr>
          <w:spacing w:val="-2"/>
          <w:sz w:val="22"/>
          <w:lang w:val="en-US"/>
        </w:rPr>
        <w:t xml:space="preserve"> </w:t>
      </w:r>
      <w:r w:rsidR="00D7627A" w:rsidRPr="00D7627A">
        <w:rPr>
          <w:sz w:val="22"/>
          <w:shd w:val="clear" w:color="auto" w:fill="FFFFFF"/>
          <w:lang w:val="en-US"/>
        </w:rPr>
        <w:t>geotechnologies</w:t>
      </w:r>
      <w:r w:rsidR="00D7627A" w:rsidRPr="00D7627A">
        <w:rPr>
          <w:sz w:val="22"/>
          <w:lang w:val="en-US"/>
        </w:rPr>
        <w:t>.</w:t>
      </w:r>
    </w:p>
    <w:p w14:paraId="22577111" w14:textId="77777777" w:rsidR="00611409" w:rsidRPr="00206DD8" w:rsidRDefault="00611409" w:rsidP="00380272">
      <w:pPr>
        <w:pStyle w:val="TextosemFormatao"/>
        <w:spacing w:beforeAutospacing="0" w:afterAutospacing="0"/>
        <w:rPr>
          <w:rFonts w:ascii="Times New Roman" w:hAnsi="Times New Roman"/>
          <w:b/>
          <w:sz w:val="22"/>
          <w:szCs w:val="22"/>
          <w:lang w:val="en-US"/>
        </w:rPr>
      </w:pPr>
    </w:p>
    <w:p w14:paraId="0F9958F1" w14:textId="77777777" w:rsidR="00E74C1E" w:rsidRPr="00215077" w:rsidRDefault="00E74C1E" w:rsidP="00380272">
      <w:pPr>
        <w:pStyle w:val="TextosemFormatao"/>
        <w:spacing w:beforeAutospacing="0" w:afterAutospacing="0"/>
        <w:rPr>
          <w:rFonts w:ascii="Times New Roman" w:hAnsi="Times New Roman"/>
          <w:b/>
          <w:sz w:val="22"/>
          <w:szCs w:val="22"/>
          <w:lang w:val="pt-BR"/>
        </w:rPr>
      </w:pPr>
      <w:r w:rsidRPr="00215077">
        <w:rPr>
          <w:rFonts w:ascii="Times New Roman" w:hAnsi="Times New Roman"/>
          <w:b/>
          <w:sz w:val="22"/>
          <w:szCs w:val="22"/>
          <w:lang w:val="pt-BR"/>
        </w:rPr>
        <w:t>INTRODUÇÃO</w:t>
      </w:r>
    </w:p>
    <w:p w14:paraId="08F5DF22" w14:textId="77777777" w:rsidR="001320A2" w:rsidRPr="00215077" w:rsidRDefault="001320A2" w:rsidP="001320A2">
      <w:pPr>
        <w:ind w:firstLine="709"/>
        <w:jc w:val="both"/>
        <w:rPr>
          <w:sz w:val="22"/>
        </w:rPr>
      </w:pPr>
      <w:r w:rsidRPr="00215077">
        <w:rPr>
          <w:rFonts w:eastAsia="SimSun"/>
          <w:sz w:val="22"/>
        </w:rPr>
        <w:t xml:space="preserve">Para Faustino </w:t>
      </w:r>
      <w:r w:rsidRPr="00A03229">
        <w:rPr>
          <w:rFonts w:eastAsia="SimSun"/>
          <w:i/>
          <w:sz w:val="22"/>
        </w:rPr>
        <w:t>et al</w:t>
      </w:r>
      <w:r w:rsidRPr="00215077">
        <w:rPr>
          <w:rFonts w:eastAsia="SimSun"/>
          <w:sz w:val="22"/>
        </w:rPr>
        <w:t>. (2014), bacia hidrográfica é uma unidade de gestão territorial importante para os estudos ambientais, pois todos os componentes pertencentes a ela como geologia, geomorfologia, cobertura vegetal, clima e rios estão integrados e interligados. As atividades antrópicas desenvolvidas em áreas de bacias hidrográficas acarretam em uma série desdobramentos no meio ambiente (Barros, 2021).</w:t>
      </w:r>
    </w:p>
    <w:p w14:paraId="5B7DDD10" w14:textId="77777777" w:rsidR="001320A2" w:rsidRPr="00215077" w:rsidRDefault="001320A2" w:rsidP="001320A2">
      <w:pPr>
        <w:ind w:firstLine="709"/>
        <w:jc w:val="both"/>
        <w:rPr>
          <w:sz w:val="22"/>
        </w:rPr>
      </w:pPr>
      <w:r w:rsidRPr="00215077">
        <w:rPr>
          <w:sz w:val="22"/>
        </w:rPr>
        <w:t xml:space="preserve">A utilização do sensoriamento remoto e a aplicação conjunta de índices de vegetação, também chamados índices biofísicos, apresentam-se como instrumentos eficientes e eficazes para avaliar e monitorar as condições da cobertura vegetal de uma região geográfica, em função de sua precisão, praticidade e caráter multiespectral (Chagas, 2012; Ribeiro </w:t>
      </w:r>
      <w:r w:rsidRPr="00A03229">
        <w:rPr>
          <w:i/>
          <w:sz w:val="22"/>
        </w:rPr>
        <w:t>et al</w:t>
      </w:r>
      <w:r w:rsidRPr="00215077">
        <w:rPr>
          <w:sz w:val="22"/>
        </w:rPr>
        <w:t xml:space="preserve">., 2016; Sallo </w:t>
      </w:r>
      <w:r w:rsidRPr="00A03229">
        <w:rPr>
          <w:i/>
          <w:sz w:val="22"/>
        </w:rPr>
        <w:t>et al</w:t>
      </w:r>
      <w:r w:rsidRPr="00215077">
        <w:rPr>
          <w:sz w:val="22"/>
        </w:rPr>
        <w:t>., 2014).</w:t>
      </w:r>
    </w:p>
    <w:p w14:paraId="0696941F" w14:textId="77777777" w:rsidR="001320A2" w:rsidRPr="00215077" w:rsidRDefault="001320A2" w:rsidP="001320A2">
      <w:pPr>
        <w:ind w:firstLine="709"/>
        <w:jc w:val="both"/>
        <w:rPr>
          <w:sz w:val="22"/>
        </w:rPr>
      </w:pPr>
      <w:r w:rsidRPr="00215077">
        <w:rPr>
          <w:sz w:val="22"/>
        </w:rPr>
        <w:lastRenderedPageBreak/>
        <w:t xml:space="preserve">Atualmente, plataformas baseadas em processamento digital em nuvem estão sendo disponibilizadas gratuitamente para diversos públicos, principalmente na área de geoprocessamento, como a plataforma Google Earth Engine (GEE) (Campos-Taberner </w:t>
      </w:r>
      <w:r w:rsidRPr="00A03229">
        <w:rPr>
          <w:i/>
          <w:sz w:val="22"/>
        </w:rPr>
        <w:t>et al</w:t>
      </w:r>
      <w:r w:rsidRPr="00215077">
        <w:rPr>
          <w:sz w:val="22"/>
        </w:rPr>
        <w:t>., 2018</w:t>
      </w:r>
      <w:bookmarkStart w:id="0" w:name="bbib8"/>
      <w:r w:rsidRPr="00215077">
        <w:rPr>
          <w:sz w:val="22"/>
        </w:rPr>
        <w:t>)</w:t>
      </w:r>
      <w:bookmarkEnd w:id="0"/>
      <w:r w:rsidRPr="00215077">
        <w:rPr>
          <w:sz w:val="22"/>
        </w:rPr>
        <w:t>.</w:t>
      </w:r>
    </w:p>
    <w:p w14:paraId="59BD0C8D" w14:textId="77777777" w:rsidR="00C44FE1" w:rsidRPr="00215077" w:rsidRDefault="001320A2" w:rsidP="001320A2">
      <w:pPr>
        <w:ind w:firstLine="709"/>
        <w:jc w:val="both"/>
        <w:rPr>
          <w:sz w:val="22"/>
        </w:rPr>
      </w:pPr>
      <w:r w:rsidRPr="00215077">
        <w:rPr>
          <w:sz w:val="22"/>
        </w:rPr>
        <w:t xml:space="preserve">Portanto, o objetivo deste trabalho </w:t>
      </w:r>
      <w:r w:rsidR="002677CA">
        <w:rPr>
          <w:sz w:val="22"/>
        </w:rPr>
        <w:t>foi</w:t>
      </w:r>
      <w:r w:rsidRPr="00215077">
        <w:rPr>
          <w:rFonts w:eastAsia="SimSun"/>
          <w:sz w:val="22"/>
        </w:rPr>
        <w:t xml:space="preserve"> </w:t>
      </w:r>
      <w:r w:rsidRPr="00215077">
        <w:rPr>
          <w:sz w:val="22"/>
        </w:rPr>
        <w:t>avaliar a cobertura vegetal na bacia hidrográfica do rio Sucuru-PB, utilizando a plataforma do GEE, por meio de diferentes índices de vegetação do período seco e chuvoso da região</w:t>
      </w:r>
      <w:r w:rsidRPr="00215077">
        <w:rPr>
          <w:sz w:val="22"/>
          <w:szCs w:val="24"/>
        </w:rPr>
        <w:t>.</w:t>
      </w:r>
    </w:p>
    <w:p w14:paraId="44976C44" w14:textId="77777777" w:rsidR="00CC053E" w:rsidRPr="00206DD8" w:rsidRDefault="00CC053E" w:rsidP="00380272">
      <w:pPr>
        <w:pStyle w:val="Corpodetexto"/>
        <w:ind w:firstLine="709"/>
        <w:jc w:val="both"/>
        <w:rPr>
          <w:sz w:val="22"/>
          <w:szCs w:val="22"/>
        </w:rPr>
      </w:pPr>
    </w:p>
    <w:p w14:paraId="00214DE4" w14:textId="77777777" w:rsidR="00E74C1E" w:rsidRPr="00215077" w:rsidRDefault="00E74C1E" w:rsidP="00380272">
      <w:pPr>
        <w:ind w:right="-1"/>
        <w:rPr>
          <w:b/>
          <w:sz w:val="22"/>
          <w:szCs w:val="22"/>
        </w:rPr>
      </w:pPr>
      <w:r w:rsidRPr="00215077">
        <w:rPr>
          <w:b/>
          <w:sz w:val="22"/>
          <w:szCs w:val="22"/>
        </w:rPr>
        <w:t>MATERIA</w:t>
      </w:r>
      <w:r w:rsidR="001A5BA0" w:rsidRPr="00215077">
        <w:rPr>
          <w:b/>
          <w:sz w:val="22"/>
          <w:szCs w:val="22"/>
        </w:rPr>
        <w:t>L</w:t>
      </w:r>
      <w:r w:rsidRPr="00215077">
        <w:rPr>
          <w:b/>
          <w:sz w:val="22"/>
          <w:szCs w:val="22"/>
        </w:rPr>
        <w:t xml:space="preserve"> E MÉTODOS </w:t>
      </w:r>
    </w:p>
    <w:p w14:paraId="18B5C77F" w14:textId="77777777" w:rsidR="001A520A" w:rsidRPr="00215077" w:rsidRDefault="001A520A" w:rsidP="001A520A">
      <w:pPr>
        <w:ind w:firstLine="709"/>
        <w:jc w:val="both"/>
        <w:rPr>
          <w:sz w:val="22"/>
        </w:rPr>
      </w:pPr>
      <w:r w:rsidRPr="00215077">
        <w:rPr>
          <w:sz w:val="22"/>
        </w:rPr>
        <w:t>A bacia do Rio Sucuru representa parcela significativa da bacia do Alto Rio Paraíba e está localizada na Mesorregião da Borborema e na Microrregião Homogênea do Cariri Ocidental, com área territorial de 1.652,5 km</w:t>
      </w:r>
      <w:r w:rsidRPr="00E605F1">
        <w:rPr>
          <w:sz w:val="22"/>
          <w:vertAlign w:val="superscript"/>
        </w:rPr>
        <w:t>2</w:t>
      </w:r>
      <w:r w:rsidRPr="00215077">
        <w:rPr>
          <w:sz w:val="22"/>
        </w:rPr>
        <w:t xml:space="preserve"> (Santos</w:t>
      </w:r>
      <w:r w:rsidR="005668B9">
        <w:rPr>
          <w:sz w:val="22"/>
        </w:rPr>
        <w:t xml:space="preserve"> </w:t>
      </w:r>
      <w:r w:rsidR="005668B9" w:rsidRPr="00A03229">
        <w:rPr>
          <w:i/>
          <w:sz w:val="22"/>
        </w:rPr>
        <w:t>et al</w:t>
      </w:r>
      <w:r w:rsidR="005668B9">
        <w:rPr>
          <w:sz w:val="22"/>
        </w:rPr>
        <w:t>.,</w:t>
      </w:r>
      <w:r w:rsidRPr="00215077">
        <w:rPr>
          <w:sz w:val="22"/>
        </w:rPr>
        <w:t xml:space="preserve"> 2020)</w:t>
      </w:r>
      <w:r w:rsidR="0052436B" w:rsidRPr="00215077">
        <w:rPr>
          <w:sz w:val="22"/>
        </w:rPr>
        <w:t>.</w:t>
      </w:r>
    </w:p>
    <w:p w14:paraId="10B3184D" w14:textId="77777777" w:rsidR="002850CC" w:rsidRPr="00215077" w:rsidRDefault="002850CC" w:rsidP="002850CC">
      <w:pPr>
        <w:ind w:firstLine="709"/>
        <w:jc w:val="both"/>
        <w:rPr>
          <w:sz w:val="22"/>
        </w:rPr>
      </w:pPr>
      <w:r w:rsidRPr="00215077">
        <w:rPr>
          <w:sz w:val="22"/>
        </w:rPr>
        <w:t>De acordo com a classificação de Gaussen</w:t>
      </w:r>
      <w:r w:rsidR="00F70012" w:rsidRPr="00215077">
        <w:rPr>
          <w:sz w:val="22"/>
        </w:rPr>
        <w:t>,</w:t>
      </w:r>
      <w:r w:rsidRPr="00215077">
        <w:rPr>
          <w:sz w:val="22"/>
        </w:rPr>
        <w:t xml:space="preserve"> a área em estudo está sob a influência dos tipos climáticos 4aTh (tropical quente de seca acentuada), 2b (subdesértico quente de tendência tropical) e 3aTh (mediterrâneo quente ou nordestino de seca acentuada). Não obstante, de acordo com a classificação de Koppen, o clima predominante na região é do tipo Bsh (semiárido quente), com precipitações médias anuais baixas</w:t>
      </w:r>
      <w:r w:rsidR="00F70012" w:rsidRPr="00215077">
        <w:rPr>
          <w:sz w:val="22"/>
        </w:rPr>
        <w:t>,</w:t>
      </w:r>
      <w:r w:rsidRPr="00215077">
        <w:rPr>
          <w:sz w:val="22"/>
        </w:rPr>
        <w:t xml:space="preserve"> em torno de 400mm</w:t>
      </w:r>
      <w:r w:rsidR="00F70012" w:rsidRPr="00215077">
        <w:rPr>
          <w:sz w:val="22"/>
        </w:rPr>
        <w:t>,</w:t>
      </w:r>
      <w:r w:rsidRPr="00215077">
        <w:rPr>
          <w:sz w:val="22"/>
        </w:rPr>
        <w:t xml:space="preserve"> com estação seca que pode atingir até 11 meses. O índice de aridez (IA) de Thornthwaite para a bacia é de 0,22, que caracteriza o seu clima como semiárido (Alencar, 2008).</w:t>
      </w:r>
    </w:p>
    <w:p w14:paraId="41B7F68E" w14:textId="77777777" w:rsidR="002850CC" w:rsidRPr="00215077" w:rsidRDefault="00D278DA" w:rsidP="002850CC">
      <w:pPr>
        <w:ind w:firstLine="709"/>
        <w:jc w:val="both"/>
        <w:rPr>
          <w:sz w:val="22"/>
        </w:rPr>
      </w:pPr>
      <w:r>
        <w:rPr>
          <w:sz w:val="22"/>
        </w:rPr>
        <w:t xml:space="preserve">Diniz </w:t>
      </w:r>
      <w:r w:rsidRPr="00A03229">
        <w:rPr>
          <w:i/>
          <w:sz w:val="22"/>
        </w:rPr>
        <w:t>et al</w:t>
      </w:r>
      <w:r>
        <w:rPr>
          <w:sz w:val="22"/>
        </w:rPr>
        <w:t xml:space="preserve">. (2020) </w:t>
      </w:r>
      <w:r w:rsidR="00F70012" w:rsidRPr="00215077">
        <w:rPr>
          <w:sz w:val="22"/>
        </w:rPr>
        <w:t>afirmam que</w:t>
      </w:r>
      <w:r>
        <w:rPr>
          <w:sz w:val="22"/>
        </w:rPr>
        <w:t>,</w:t>
      </w:r>
      <w:r w:rsidR="00F70012" w:rsidRPr="00215077">
        <w:rPr>
          <w:sz w:val="22"/>
        </w:rPr>
        <w:t xml:space="preserve"> </w:t>
      </w:r>
      <w:r w:rsidR="002850CC" w:rsidRPr="00215077">
        <w:rPr>
          <w:sz w:val="22"/>
        </w:rPr>
        <w:t>o índice de anomalia de chuvas na microrregião do Cariri Ocidental compreende como o período chuvoso entre os meses de janeiro a maio, em contrapartida o período seco ocorre entre os meses de junho a dezembro, sendo setembro tido como o mês mais seco.</w:t>
      </w:r>
    </w:p>
    <w:p w14:paraId="497A748B" w14:textId="77777777" w:rsidR="00041E44" w:rsidRPr="00215077" w:rsidRDefault="00041E44" w:rsidP="00041E44">
      <w:pPr>
        <w:ind w:firstLine="709"/>
        <w:jc w:val="both"/>
        <w:rPr>
          <w:sz w:val="22"/>
        </w:rPr>
      </w:pPr>
      <w:r w:rsidRPr="00215077">
        <w:rPr>
          <w:sz w:val="22"/>
        </w:rPr>
        <w:t>Para a avaliar a cobertura vegetal foram utilizados os índices de vegetação, NDVI e o SAVI. O Normalized Difference Vegetation Index (NDVI), foi criado para detectar a presença ou ausência de vegetação utilizando-se de comprimentos de onda do vermelho e vermelho próximo (Equação 1), destacando assim, a presença ou ausência de vegetação (Ornellas &amp; Lopes, 2020).</w:t>
      </w:r>
    </w:p>
    <w:p w14:paraId="79D5C512" w14:textId="77777777" w:rsidR="00041E44" w:rsidRDefault="00041E44" w:rsidP="00E605F1">
      <w:pPr>
        <w:ind w:firstLine="709"/>
        <w:jc w:val="both"/>
        <w:rPr>
          <w:sz w:val="22"/>
        </w:rPr>
      </w:pPr>
      <w:r w:rsidRPr="00215077">
        <w:rPr>
          <w:sz w:val="22"/>
        </w:rPr>
        <w:t>Os valores de NDVI são representados de -1.0 a 1.0, sendo que os intervalos dos valores variam de região para região devido o comportamento da vegetação, e no semiárido com a predominância do bioma Caatinga os valores negativos de reflectância caracterizam regiões com superfícies tomadas pela água ou por sombras, valores acima ou próximo a zero, representam área de solo exposto com pouca ou nenhuma vegetação, e conforme os valores aproximam-se de 1.0 indicam vegetação com maior biomassa e atividade fotossintética (Fitz, 2020; Melo, 2011).</w:t>
      </w:r>
    </w:p>
    <w:p w14:paraId="18F635CF" w14:textId="77777777" w:rsidR="00F36470" w:rsidRDefault="00F36470" w:rsidP="00E605F1">
      <w:pPr>
        <w:ind w:firstLine="709"/>
        <w:jc w:val="both"/>
        <w:rPr>
          <w:sz w:val="22"/>
        </w:rPr>
      </w:pPr>
    </w:p>
    <w:p w14:paraId="387AF9D3" w14:textId="77777777" w:rsidR="00F36470" w:rsidRPr="00AF58B2" w:rsidRDefault="00AF58B2" w:rsidP="00E605F1">
      <w:pPr>
        <w:ind w:firstLine="709"/>
        <w:jc w:val="both"/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NDVI=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Nir-Red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Nir+Red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,  (Eq.1)</m:t>
          </m:r>
        </m:oMath>
      </m:oMathPara>
    </w:p>
    <w:p w14:paraId="60CEF342" w14:textId="77777777" w:rsidR="00041E44" w:rsidRPr="00215077" w:rsidRDefault="00041E44" w:rsidP="00041E44">
      <w:pPr>
        <w:pStyle w:val="Corpodetexto"/>
        <w:spacing w:before="2"/>
      </w:pPr>
    </w:p>
    <w:p w14:paraId="7E57227C" w14:textId="77777777" w:rsidR="00041E44" w:rsidRPr="00215077" w:rsidRDefault="00041E44" w:rsidP="00041E44">
      <w:pPr>
        <w:jc w:val="both"/>
        <w:rPr>
          <w:sz w:val="22"/>
        </w:rPr>
      </w:pPr>
      <w:r w:rsidRPr="00215077">
        <w:rPr>
          <w:position w:val="2"/>
          <w:sz w:val="22"/>
        </w:rPr>
        <w:t>Onde:</w:t>
      </w:r>
      <w:r w:rsidRPr="00215077">
        <w:rPr>
          <w:spacing w:val="1"/>
          <w:position w:val="2"/>
          <w:sz w:val="22"/>
        </w:rPr>
        <w:t xml:space="preserve"> </w:t>
      </w:r>
      <w:proofErr w:type="spellStart"/>
      <w:r w:rsidRPr="00215077">
        <w:rPr>
          <w:sz w:val="22"/>
        </w:rPr>
        <w:t>N</w:t>
      </w:r>
      <w:r w:rsidR="00F36470">
        <w:rPr>
          <w:sz w:val="22"/>
        </w:rPr>
        <w:t>ir</w:t>
      </w:r>
      <w:proofErr w:type="spellEnd"/>
      <w:r w:rsidRPr="00215077">
        <w:rPr>
          <w:sz w:val="22"/>
        </w:rPr>
        <w:t xml:space="preserve"> = refletância na faixa espectral do infravermelho próximo (Banda 8), e </w:t>
      </w:r>
      <w:proofErr w:type="spellStart"/>
      <w:r w:rsidRPr="00215077">
        <w:rPr>
          <w:sz w:val="22"/>
        </w:rPr>
        <w:t>R</w:t>
      </w:r>
      <w:r w:rsidR="00F36470">
        <w:rPr>
          <w:sz w:val="22"/>
        </w:rPr>
        <w:t>ed</w:t>
      </w:r>
      <w:proofErr w:type="spellEnd"/>
      <w:r w:rsidRPr="00215077">
        <w:rPr>
          <w:sz w:val="22"/>
        </w:rPr>
        <w:t xml:space="preserve"> = refletância na faixa espectral do vermelho (Banda 4).</w:t>
      </w:r>
    </w:p>
    <w:p w14:paraId="6FD2E462" w14:textId="77777777" w:rsidR="00F70012" w:rsidRPr="00A31AFC" w:rsidRDefault="00F70012" w:rsidP="00041E44">
      <w:pPr>
        <w:jc w:val="both"/>
        <w:rPr>
          <w:sz w:val="22"/>
        </w:rPr>
      </w:pPr>
    </w:p>
    <w:p w14:paraId="08906ED4" w14:textId="77777777" w:rsidR="00041E44" w:rsidRPr="00215077" w:rsidRDefault="00041E44" w:rsidP="00041E44">
      <w:pPr>
        <w:ind w:firstLine="709"/>
        <w:jc w:val="both"/>
        <w:rPr>
          <w:sz w:val="22"/>
          <w:highlight w:val="yellow"/>
        </w:rPr>
      </w:pPr>
      <w:r w:rsidRPr="00215077">
        <w:rPr>
          <w:sz w:val="22"/>
        </w:rPr>
        <w:t xml:space="preserve">O Índice de Vegetação Ajustado ao Solo (IVAS) do inglês </w:t>
      </w:r>
      <w:proofErr w:type="spellStart"/>
      <w:r w:rsidRPr="00215077">
        <w:rPr>
          <w:sz w:val="22"/>
        </w:rPr>
        <w:t>Soil</w:t>
      </w:r>
      <w:proofErr w:type="spellEnd"/>
      <w:r w:rsidRPr="00215077">
        <w:rPr>
          <w:sz w:val="22"/>
        </w:rPr>
        <w:t xml:space="preserve"> </w:t>
      </w:r>
      <w:proofErr w:type="spellStart"/>
      <w:r w:rsidRPr="00215077">
        <w:rPr>
          <w:sz w:val="22"/>
        </w:rPr>
        <w:t>Adjusted</w:t>
      </w:r>
      <w:proofErr w:type="spellEnd"/>
      <w:r w:rsidRPr="00215077">
        <w:rPr>
          <w:sz w:val="22"/>
        </w:rPr>
        <w:t xml:space="preserve"> </w:t>
      </w:r>
      <w:proofErr w:type="spellStart"/>
      <w:r w:rsidRPr="00215077">
        <w:rPr>
          <w:sz w:val="22"/>
        </w:rPr>
        <w:t>Vegetation</w:t>
      </w:r>
      <w:proofErr w:type="spellEnd"/>
      <w:r w:rsidRPr="00215077">
        <w:rPr>
          <w:sz w:val="22"/>
        </w:rPr>
        <w:t xml:space="preserve"> Index (SAVI), foi desenvolvido na tentativa de minimizar a influência da reflectância do solo sobre o NDVI, incorporando a um fator L (Huete, 1988). O fator de correção para minimizar as variações de brilho do solo, o torna preferível em regiões semiáridas, de vegetação tendencialmente mais esparsa onde a resposta do solo predomina em relação à resposta da vegetação (Machado</w:t>
      </w:r>
      <w:r w:rsidR="005668B9">
        <w:rPr>
          <w:sz w:val="22"/>
        </w:rPr>
        <w:t xml:space="preserve">; </w:t>
      </w:r>
      <w:proofErr w:type="spellStart"/>
      <w:r w:rsidR="005668B9">
        <w:rPr>
          <w:sz w:val="22"/>
        </w:rPr>
        <w:t>Galvíncio</w:t>
      </w:r>
      <w:proofErr w:type="spellEnd"/>
      <w:r w:rsidR="005668B9">
        <w:rPr>
          <w:sz w:val="22"/>
        </w:rPr>
        <w:t xml:space="preserve"> &amp;</w:t>
      </w:r>
      <w:r w:rsidR="00AF58B2">
        <w:rPr>
          <w:sz w:val="22"/>
        </w:rPr>
        <w:t xml:space="preserve"> </w:t>
      </w:r>
      <w:r w:rsidR="00AF58B2" w:rsidRPr="00215077">
        <w:rPr>
          <w:sz w:val="22"/>
        </w:rPr>
        <w:t>Oliveira</w:t>
      </w:r>
      <w:r w:rsidRPr="00215077">
        <w:rPr>
          <w:sz w:val="22"/>
        </w:rPr>
        <w:t xml:space="preserve">, 2011). A adoção de L foi estabelecida conforme descrito na literatura: áreas com baixa densidade de vegetação, L = 1; para densidade de vegetação intermediária, L = 0,5 e, para densidade de vegetação alta, L = 0,25 (Silva </w:t>
      </w:r>
      <w:r w:rsidRPr="00A03229">
        <w:rPr>
          <w:i/>
          <w:sz w:val="22"/>
        </w:rPr>
        <w:t>et al</w:t>
      </w:r>
      <w:r w:rsidRPr="00215077">
        <w:rPr>
          <w:sz w:val="22"/>
        </w:rPr>
        <w:t xml:space="preserve">., 2020a; Silva </w:t>
      </w:r>
      <w:r w:rsidRPr="00A03229">
        <w:rPr>
          <w:i/>
          <w:sz w:val="22"/>
        </w:rPr>
        <w:t>et al</w:t>
      </w:r>
      <w:r w:rsidRPr="00215077">
        <w:rPr>
          <w:sz w:val="22"/>
        </w:rPr>
        <w:t xml:space="preserve">., 2020b; Silva </w:t>
      </w:r>
      <w:r w:rsidRPr="00A03229">
        <w:rPr>
          <w:i/>
          <w:sz w:val="22"/>
        </w:rPr>
        <w:t>et al</w:t>
      </w:r>
      <w:r w:rsidRPr="00215077">
        <w:rPr>
          <w:sz w:val="22"/>
        </w:rPr>
        <w:t xml:space="preserve">., 2021). Portanto, foi adotado um L de 0,5, por se tratar do bioma Caatinga (Melo </w:t>
      </w:r>
      <w:r w:rsidRPr="00A03229">
        <w:rPr>
          <w:i/>
          <w:sz w:val="22"/>
        </w:rPr>
        <w:t>et al</w:t>
      </w:r>
      <w:r w:rsidRPr="00215077">
        <w:rPr>
          <w:sz w:val="22"/>
        </w:rPr>
        <w:t>., 2022). O SAVI é calculado através da Equação 2 proposta por (Huete, 1988).</w:t>
      </w:r>
    </w:p>
    <w:p w14:paraId="27F86BCC" w14:textId="77777777" w:rsidR="00041E44" w:rsidRPr="00215077" w:rsidRDefault="00041E44" w:rsidP="00041E44">
      <w:pPr>
        <w:jc w:val="both"/>
        <w:rPr>
          <w:sz w:val="22"/>
          <w:highlight w:val="yellow"/>
        </w:rPr>
      </w:pPr>
    </w:p>
    <w:p w14:paraId="004C2E1B" w14:textId="4847E5CE" w:rsidR="00041E44" w:rsidRPr="00AF58B2" w:rsidRDefault="00AF58B2" w:rsidP="00E605F1">
      <w:pPr>
        <w:jc w:val="center"/>
        <w:rPr>
          <w:sz w:val="22"/>
          <w:highlight w:val="yellow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SAVI=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1+L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Nir - Red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Nir + Red+L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(Eq. 2)</m:t>
          </m:r>
        </m:oMath>
      </m:oMathPara>
    </w:p>
    <w:p w14:paraId="05916FBE" w14:textId="77777777" w:rsidR="00041E44" w:rsidRPr="00215077" w:rsidRDefault="00041E44" w:rsidP="00041E44">
      <w:pPr>
        <w:jc w:val="both"/>
        <w:rPr>
          <w:sz w:val="22"/>
          <w:highlight w:val="yellow"/>
        </w:rPr>
      </w:pPr>
    </w:p>
    <w:p w14:paraId="37788CC4" w14:textId="77777777" w:rsidR="00041E44" w:rsidRPr="00215077" w:rsidRDefault="00041E44" w:rsidP="00041E44">
      <w:pPr>
        <w:jc w:val="both"/>
        <w:rPr>
          <w:sz w:val="22"/>
        </w:rPr>
      </w:pPr>
      <w:r w:rsidRPr="00215077">
        <w:rPr>
          <w:sz w:val="22"/>
        </w:rPr>
        <w:t xml:space="preserve">Onde: </w:t>
      </w:r>
      <w:proofErr w:type="spellStart"/>
      <w:r w:rsidRPr="00215077">
        <w:rPr>
          <w:sz w:val="22"/>
        </w:rPr>
        <w:t>N</w:t>
      </w:r>
      <w:r w:rsidR="00F36470">
        <w:rPr>
          <w:sz w:val="22"/>
        </w:rPr>
        <w:t>ir</w:t>
      </w:r>
      <w:proofErr w:type="spellEnd"/>
      <w:r w:rsidRPr="00215077">
        <w:rPr>
          <w:sz w:val="22"/>
        </w:rPr>
        <w:t xml:space="preserve"> = refletância na faixa espectral do infravermelho próximo (Banda 8), e </w:t>
      </w:r>
      <w:proofErr w:type="spellStart"/>
      <w:r w:rsidRPr="00215077">
        <w:rPr>
          <w:sz w:val="22"/>
        </w:rPr>
        <w:t>R</w:t>
      </w:r>
      <w:r w:rsidR="00AF58B2">
        <w:rPr>
          <w:sz w:val="22"/>
        </w:rPr>
        <w:t>ed</w:t>
      </w:r>
      <w:proofErr w:type="spellEnd"/>
      <w:r w:rsidRPr="00215077">
        <w:rPr>
          <w:sz w:val="22"/>
        </w:rPr>
        <w:t xml:space="preserve"> = refletância na faixa espectral do vermelho (Banda 4).</w:t>
      </w:r>
    </w:p>
    <w:p w14:paraId="26BCFAA8" w14:textId="77777777" w:rsidR="00906AF4" w:rsidRPr="00A31AFC" w:rsidRDefault="00906AF4" w:rsidP="00041E44">
      <w:pPr>
        <w:jc w:val="both"/>
        <w:rPr>
          <w:sz w:val="22"/>
        </w:rPr>
      </w:pPr>
    </w:p>
    <w:p w14:paraId="3AE8BC40" w14:textId="77777777" w:rsidR="00041E44" w:rsidRPr="00215077" w:rsidRDefault="00041E44" w:rsidP="00041E44">
      <w:pPr>
        <w:ind w:firstLine="709"/>
        <w:jc w:val="both"/>
        <w:rPr>
          <w:sz w:val="22"/>
        </w:rPr>
      </w:pPr>
      <w:r w:rsidRPr="00215077">
        <w:rPr>
          <w:sz w:val="22"/>
        </w:rPr>
        <w:lastRenderedPageBreak/>
        <w:t>Para o estudo da cobertura vegetal, foram utilizadas imagens do sensor multiespectral do Sentinel-2, com nível 1c, (melhor nível de correção produzido de forma sistemática que inclui: projeção em sistema cartográfico utilizando Modelo Digital de Terreno; valores de reflectância em Topo de Atmosfera (TOA); reamostragem em grid padrão de 10, 20 e 60</w:t>
      </w:r>
      <w:r w:rsidR="00906AF4" w:rsidRPr="00215077">
        <w:rPr>
          <w:sz w:val="22"/>
        </w:rPr>
        <w:t xml:space="preserve"> </w:t>
      </w:r>
      <w:r w:rsidRPr="00215077">
        <w:rPr>
          <w:sz w:val="22"/>
        </w:rPr>
        <w:t>m (GSD) e inclusão de máscara de nuvem (ESA, 2015). Os satélites Sentinel-2A e 2B são satélites de imageamento multispectral que geram imagens em alta resolução (com bandas de 10 a 60</w:t>
      </w:r>
      <w:r w:rsidR="00906AF4" w:rsidRPr="00215077">
        <w:rPr>
          <w:sz w:val="22"/>
        </w:rPr>
        <w:t xml:space="preserve"> </w:t>
      </w:r>
      <w:r w:rsidRPr="00215077">
        <w:rPr>
          <w:sz w:val="22"/>
        </w:rPr>
        <w:t xml:space="preserve">m) e com alta capacidade de revisita (5 dias) (Drusch </w:t>
      </w:r>
      <w:r w:rsidRPr="00A03229">
        <w:rPr>
          <w:i/>
          <w:sz w:val="22"/>
        </w:rPr>
        <w:t>et al</w:t>
      </w:r>
      <w:r w:rsidRPr="00215077">
        <w:rPr>
          <w:sz w:val="22"/>
        </w:rPr>
        <w:t>., 2012).</w:t>
      </w:r>
    </w:p>
    <w:p w14:paraId="0D8AA617" w14:textId="77777777" w:rsidR="00041E44" w:rsidRPr="00215077" w:rsidRDefault="00041E44" w:rsidP="00041E44">
      <w:pPr>
        <w:ind w:firstLine="709"/>
        <w:jc w:val="both"/>
        <w:rPr>
          <w:sz w:val="22"/>
        </w:rPr>
      </w:pPr>
      <w:r w:rsidRPr="00215077">
        <w:rPr>
          <w:sz w:val="22"/>
        </w:rPr>
        <w:t>O script foi elaborado na linguagem JavaScript a partir da plataforma de programação e processamento em nuvem do GEE, denominada Code Editor. Foi aplicado um filtro para remoção de pixels de nuvem nas imagens capturadas entre 01/01 à 01/05/2022 e 01/06 à 01/12/2022, referente ao período chuvoso e seco, respectivamente, e gerada uma imagem síntese dos períodos utilizando o valor da mediana de cada pixel. Rosa (2018), ressalta que a utilização do valor da mediana é importante pois elimina pixels contaminados por ruídos causados por névoas, nuvem ou sombra de nuvem que não tenham sido removidos no filtro inicial.</w:t>
      </w:r>
    </w:p>
    <w:p w14:paraId="1B1274BC" w14:textId="77777777" w:rsidR="00041E44" w:rsidRPr="00215077" w:rsidRDefault="00041E44" w:rsidP="00041E44">
      <w:pPr>
        <w:ind w:firstLine="709"/>
        <w:jc w:val="both"/>
        <w:rPr>
          <w:sz w:val="22"/>
        </w:rPr>
      </w:pPr>
      <w:r w:rsidRPr="00215077">
        <w:rPr>
          <w:sz w:val="22"/>
        </w:rPr>
        <w:t>A partir das imagens obtidas, foram realizados os cálculos dos índices espectrais e, então exportadas as imagens para o software QGIS 3.22 para elaboração do layout.</w:t>
      </w:r>
    </w:p>
    <w:p w14:paraId="2E150280" w14:textId="77777777" w:rsidR="00673440" w:rsidRPr="00A31AFC" w:rsidRDefault="00673440" w:rsidP="0067344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0DB6CC" w14:textId="77777777" w:rsidR="00C350B6" w:rsidRPr="00215077" w:rsidRDefault="00C350B6" w:rsidP="006F0E1F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15077">
        <w:rPr>
          <w:b/>
          <w:sz w:val="22"/>
          <w:szCs w:val="22"/>
        </w:rPr>
        <w:t>RESULTADOS E DISCUSSÃO</w:t>
      </w:r>
    </w:p>
    <w:p w14:paraId="642AA931" w14:textId="77777777" w:rsidR="00BE42FC" w:rsidRPr="00215077" w:rsidRDefault="005B5064" w:rsidP="00E93BF5">
      <w:pPr>
        <w:ind w:firstLine="567"/>
        <w:jc w:val="both"/>
        <w:rPr>
          <w:sz w:val="22"/>
        </w:rPr>
      </w:pPr>
      <w:r w:rsidRPr="00215077">
        <w:rPr>
          <w:sz w:val="22"/>
        </w:rPr>
        <w:t xml:space="preserve">Na Figura </w:t>
      </w:r>
      <w:r w:rsidR="00D64C2A">
        <w:rPr>
          <w:sz w:val="22"/>
        </w:rPr>
        <w:t>1</w:t>
      </w:r>
      <w:r w:rsidRPr="00215077">
        <w:rPr>
          <w:sz w:val="22"/>
        </w:rPr>
        <w:t>, observam-se produtos do NDVI para a bacia hidrográfica do rio Sucuru, para o período o seco e chuvoso do ano de 2022, respectivamente.</w:t>
      </w:r>
    </w:p>
    <w:p w14:paraId="53A9AB05" w14:textId="77777777" w:rsidR="00A54B82" w:rsidRPr="00A31AFC" w:rsidRDefault="00A54B82" w:rsidP="00A54B82">
      <w:pPr>
        <w:rPr>
          <w:sz w:val="22"/>
        </w:rPr>
      </w:pPr>
    </w:p>
    <w:p w14:paraId="2F12C013" w14:textId="77777777" w:rsidR="00A54B82" w:rsidRPr="00215077" w:rsidRDefault="00A54B82" w:rsidP="00D64C2A">
      <w:pPr>
        <w:rPr>
          <w:sz w:val="22"/>
        </w:rPr>
      </w:pPr>
      <w:r w:rsidRPr="00215077">
        <w:rPr>
          <w:sz w:val="22"/>
        </w:rPr>
        <w:t xml:space="preserve">Figura </w:t>
      </w:r>
      <w:r w:rsidR="00D64C2A">
        <w:rPr>
          <w:sz w:val="22"/>
        </w:rPr>
        <w:t>1</w:t>
      </w:r>
      <w:r w:rsidRPr="00215077">
        <w:rPr>
          <w:sz w:val="22"/>
        </w:rPr>
        <w:t>. NDVI para o período seco e chuvoso do ano de 2022.</w:t>
      </w:r>
    </w:p>
    <w:p w14:paraId="7D5F69E5" w14:textId="77777777" w:rsidR="005B5064" w:rsidRPr="00215077" w:rsidRDefault="00F36470" w:rsidP="00D64C2A">
      <w:pPr>
        <w:rPr>
          <w:sz w:val="22"/>
          <w:szCs w:val="22"/>
        </w:rPr>
      </w:pPr>
      <w:r w:rsidRPr="00215077">
        <w:rPr>
          <w:noProof/>
          <w:sz w:val="22"/>
        </w:rPr>
        <w:drawing>
          <wp:inline distT="0" distB="0" distL="0" distR="0" wp14:anchorId="1F163DFF" wp14:editId="33553116">
            <wp:extent cx="4067175" cy="2876550"/>
            <wp:effectExtent l="0" t="0" r="0" b="0"/>
            <wp:docPr id="3" name="Imagem 3" descr="ND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V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E83F4" w14:textId="77777777" w:rsidR="005B5064" w:rsidRPr="00215077" w:rsidRDefault="005B5064" w:rsidP="00D64C2A">
      <w:pPr>
        <w:rPr>
          <w:sz w:val="22"/>
        </w:rPr>
      </w:pPr>
      <w:r w:rsidRPr="00215077">
        <w:rPr>
          <w:sz w:val="22"/>
        </w:rPr>
        <w:t>Fonte: Adaptado do Google Earth Engine (2021).</w:t>
      </w:r>
    </w:p>
    <w:p w14:paraId="3AC91AF5" w14:textId="77777777" w:rsidR="00C437CB" w:rsidRPr="00924494" w:rsidRDefault="00C437CB" w:rsidP="00E93BF5">
      <w:pPr>
        <w:ind w:firstLine="567"/>
        <w:jc w:val="both"/>
        <w:rPr>
          <w:szCs w:val="22"/>
        </w:rPr>
      </w:pPr>
    </w:p>
    <w:p w14:paraId="501BF162" w14:textId="77777777" w:rsidR="005B5064" w:rsidRPr="00215077" w:rsidRDefault="005B5064" w:rsidP="005B5064">
      <w:pPr>
        <w:ind w:firstLine="709"/>
        <w:jc w:val="both"/>
        <w:rPr>
          <w:sz w:val="22"/>
        </w:rPr>
      </w:pPr>
      <w:r w:rsidRPr="00215077">
        <w:rPr>
          <w:sz w:val="22"/>
        </w:rPr>
        <w:t xml:space="preserve">Durante o período seco, os valores máximo e mínimo de NDVI </w:t>
      </w:r>
      <w:r w:rsidR="00906AF4" w:rsidRPr="00215077">
        <w:rPr>
          <w:sz w:val="22"/>
        </w:rPr>
        <w:t xml:space="preserve">são </w:t>
      </w:r>
      <w:r w:rsidRPr="00215077">
        <w:rPr>
          <w:sz w:val="22"/>
        </w:rPr>
        <w:t>-0,08 e 0,40 (Figura 3), delineando corpos d’água e áreas de pastagem e arbustos presentes na área de estudo, respectivamente. Há concordância entre esses resultados obtidos neste estudo e o trabalho realizado por Karaburun (2010), que observou que o NDVI possui propriedades que variam de -1,0 ≤ NDVI ≤ 1,0. Ainda para o autor, valores negativos de NDVI (NDVI &lt; 0) indicam corpos d’água, valores muito baixos (NDVI &lt; 0,1) correspondem as áreas inférteis, já valores considerados moderados (0,2 ≤ NDVI ≤ 0,3) representam áreas de pastagem e arbustos, enquanto (0,6 ≤ NDVI ≤ 0,8) expressam florestas tropicais e temperadas e indicam a presença de vegetação viva, e finalmente o solo exposto tem valor nulo (NDVI = 0).</w:t>
      </w:r>
    </w:p>
    <w:p w14:paraId="5B082846" w14:textId="77777777" w:rsidR="005B5064" w:rsidRPr="00215077" w:rsidRDefault="005B5064" w:rsidP="005B5064">
      <w:pPr>
        <w:ind w:firstLine="709"/>
        <w:jc w:val="both"/>
        <w:rPr>
          <w:sz w:val="22"/>
          <w:szCs w:val="24"/>
        </w:rPr>
      </w:pPr>
      <w:r w:rsidRPr="00215077">
        <w:rPr>
          <w:sz w:val="22"/>
          <w:szCs w:val="24"/>
        </w:rPr>
        <w:t xml:space="preserve">Notam-se produtos do SAVI, exposto na Figura </w:t>
      </w:r>
      <w:r w:rsidR="00D64C2A">
        <w:rPr>
          <w:sz w:val="22"/>
          <w:szCs w:val="24"/>
        </w:rPr>
        <w:t>2</w:t>
      </w:r>
      <w:r w:rsidRPr="00215077">
        <w:rPr>
          <w:sz w:val="22"/>
          <w:szCs w:val="24"/>
        </w:rPr>
        <w:t xml:space="preserve"> para a bacia hidrográfica do rio Sucuru, para o período o seco e chuvoso do ano de 2022, respectivamente.</w:t>
      </w:r>
    </w:p>
    <w:p w14:paraId="62FDDFF1" w14:textId="77777777" w:rsidR="00D64C2A" w:rsidRPr="00A31AFC" w:rsidRDefault="00D64C2A" w:rsidP="005B5064">
      <w:pPr>
        <w:ind w:firstLine="709"/>
        <w:jc w:val="both"/>
        <w:rPr>
          <w:sz w:val="22"/>
          <w:szCs w:val="24"/>
        </w:rPr>
      </w:pPr>
    </w:p>
    <w:p w14:paraId="40850A93" w14:textId="77777777" w:rsidR="00A26CFF" w:rsidRDefault="00A26CFF" w:rsidP="005B5064">
      <w:pPr>
        <w:ind w:firstLine="709"/>
        <w:jc w:val="both"/>
        <w:rPr>
          <w:szCs w:val="24"/>
        </w:rPr>
      </w:pPr>
    </w:p>
    <w:p w14:paraId="57A79E74" w14:textId="77777777" w:rsidR="006C666F" w:rsidRDefault="006C666F" w:rsidP="005B5064">
      <w:pPr>
        <w:ind w:firstLine="709"/>
        <w:jc w:val="both"/>
        <w:rPr>
          <w:szCs w:val="24"/>
        </w:rPr>
      </w:pPr>
    </w:p>
    <w:p w14:paraId="4AF38411" w14:textId="77777777" w:rsidR="00D64C2A" w:rsidRPr="00215077" w:rsidRDefault="00D64C2A" w:rsidP="00D64C2A">
      <w:pPr>
        <w:rPr>
          <w:sz w:val="22"/>
        </w:rPr>
      </w:pPr>
      <w:r w:rsidRPr="00215077">
        <w:rPr>
          <w:sz w:val="22"/>
        </w:rPr>
        <w:lastRenderedPageBreak/>
        <w:t xml:space="preserve">Figura </w:t>
      </w:r>
      <w:r>
        <w:rPr>
          <w:sz w:val="22"/>
        </w:rPr>
        <w:t>2</w:t>
      </w:r>
      <w:r w:rsidRPr="00215077">
        <w:rPr>
          <w:sz w:val="22"/>
        </w:rPr>
        <w:t>. SAVI para o período seco e chuvoso do ano de 2022.</w:t>
      </w:r>
    </w:p>
    <w:p w14:paraId="7B1E51C5" w14:textId="77777777" w:rsidR="005B5064" w:rsidRPr="00215077" w:rsidRDefault="00F36470" w:rsidP="00D64C2A">
      <w:pPr>
        <w:rPr>
          <w:sz w:val="22"/>
        </w:rPr>
      </w:pPr>
      <w:r w:rsidRPr="00215077">
        <w:rPr>
          <w:noProof/>
          <w:szCs w:val="24"/>
        </w:rPr>
        <w:drawing>
          <wp:inline distT="0" distB="0" distL="0" distR="0" wp14:anchorId="6648DD7A" wp14:editId="14656BE9">
            <wp:extent cx="4067175" cy="2876550"/>
            <wp:effectExtent l="0" t="0" r="0" b="0"/>
            <wp:docPr id="4" name="Imagem 4" descr="S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EB5A" w14:textId="77777777" w:rsidR="005B5064" w:rsidRPr="00215077" w:rsidRDefault="005B5064" w:rsidP="00D64C2A">
      <w:pPr>
        <w:rPr>
          <w:sz w:val="22"/>
        </w:rPr>
      </w:pPr>
      <w:r w:rsidRPr="00215077">
        <w:rPr>
          <w:sz w:val="22"/>
        </w:rPr>
        <w:t>Fonte: Adaptado do Google Earth Engine (2021).</w:t>
      </w:r>
    </w:p>
    <w:p w14:paraId="43D8AE0B" w14:textId="77777777" w:rsidR="005B5064" w:rsidRPr="00215077" w:rsidRDefault="005B5064" w:rsidP="005B5064">
      <w:pPr>
        <w:jc w:val="center"/>
        <w:rPr>
          <w:sz w:val="22"/>
        </w:rPr>
      </w:pPr>
    </w:p>
    <w:p w14:paraId="6A99A75F" w14:textId="77777777" w:rsidR="005B5064" w:rsidRPr="00215077" w:rsidRDefault="005B5064" w:rsidP="005B5064">
      <w:pPr>
        <w:ind w:firstLine="709"/>
        <w:jc w:val="both"/>
        <w:rPr>
          <w:sz w:val="22"/>
        </w:rPr>
      </w:pPr>
      <w:r w:rsidRPr="00215077">
        <w:rPr>
          <w:sz w:val="22"/>
        </w:rPr>
        <w:t xml:space="preserve">Rêgo </w:t>
      </w:r>
      <w:r w:rsidRPr="00A03229">
        <w:rPr>
          <w:i/>
          <w:sz w:val="22"/>
        </w:rPr>
        <w:t>et al</w:t>
      </w:r>
      <w:r w:rsidRPr="00215077">
        <w:rPr>
          <w:sz w:val="22"/>
        </w:rPr>
        <w:t>. (2012) aponta que, o SAVI expressa valores que podem variar de -1,0 ≤ SAVI ≤ 1,0, sendo que valores positivos correspondem a vegetação mais densa, no entanto valores negativos representam solo exposto, corpos d’água ou área construída. Coincidindo com os valores apresentados por este trabalho, valores de máximo e mínimo do SAVI, para o período seco, -0,04 e 0,20 (Figura 4), respectivamente, sendo caracterizada como solo exposto, corpos d’água ou área construída e vegetação mais densa na área em estudo.</w:t>
      </w:r>
    </w:p>
    <w:p w14:paraId="23B6DD60" w14:textId="77777777" w:rsidR="00C437CB" w:rsidRPr="00215077" w:rsidRDefault="00C437CB" w:rsidP="00E93BF5">
      <w:pPr>
        <w:ind w:firstLine="567"/>
        <w:jc w:val="both"/>
        <w:rPr>
          <w:sz w:val="22"/>
          <w:szCs w:val="22"/>
        </w:rPr>
      </w:pPr>
    </w:p>
    <w:p w14:paraId="39577B00" w14:textId="77777777" w:rsidR="00C350B6" w:rsidRPr="00215077" w:rsidRDefault="00A40B19" w:rsidP="00380272">
      <w:pPr>
        <w:ind w:right="-1"/>
        <w:jc w:val="both"/>
        <w:rPr>
          <w:b/>
          <w:sz w:val="22"/>
          <w:szCs w:val="22"/>
        </w:rPr>
      </w:pPr>
      <w:r w:rsidRPr="00215077">
        <w:rPr>
          <w:b/>
          <w:sz w:val="22"/>
          <w:szCs w:val="22"/>
        </w:rPr>
        <w:t>CONCLUS</w:t>
      </w:r>
      <w:r w:rsidR="00F47800" w:rsidRPr="00215077">
        <w:rPr>
          <w:b/>
          <w:sz w:val="22"/>
          <w:szCs w:val="22"/>
        </w:rPr>
        <w:t>ÃO</w:t>
      </w:r>
    </w:p>
    <w:p w14:paraId="6C1681A5" w14:textId="598BB69A" w:rsidR="00A03229" w:rsidRPr="00215077" w:rsidRDefault="00694997" w:rsidP="00694997">
      <w:pPr>
        <w:ind w:firstLine="709"/>
        <w:jc w:val="both"/>
        <w:rPr>
          <w:sz w:val="22"/>
        </w:rPr>
      </w:pPr>
      <w:r w:rsidRPr="00215077">
        <w:rPr>
          <w:sz w:val="22"/>
        </w:rPr>
        <w:t xml:space="preserve">O processamento em nuvem digital do Google Earth Engine (GEE) </w:t>
      </w:r>
      <w:r w:rsidR="006C666F">
        <w:rPr>
          <w:sz w:val="22"/>
        </w:rPr>
        <w:t>apresentou-se</w:t>
      </w:r>
      <w:r w:rsidRPr="00215077">
        <w:rPr>
          <w:sz w:val="22"/>
        </w:rPr>
        <w:t xml:space="preserve"> eficiente na </w:t>
      </w:r>
      <w:r w:rsidR="00DB7B5A">
        <w:rPr>
          <w:sz w:val="22"/>
        </w:rPr>
        <w:t xml:space="preserve">avaliação da cobertura vegetal </w:t>
      </w:r>
      <w:r w:rsidR="006C666F">
        <w:rPr>
          <w:sz w:val="22"/>
        </w:rPr>
        <w:t>d</w:t>
      </w:r>
      <w:r w:rsidR="00DB7B5A">
        <w:rPr>
          <w:sz w:val="22"/>
        </w:rPr>
        <w:t>a bacia através dos índices</w:t>
      </w:r>
      <w:r w:rsidRPr="00215077">
        <w:rPr>
          <w:sz w:val="22"/>
        </w:rPr>
        <w:t>, maximizando o tempo de processamento e minimizando erros com correções de refletância na superfície terrestre.</w:t>
      </w:r>
    </w:p>
    <w:p w14:paraId="36787E32" w14:textId="77777777" w:rsidR="00694997" w:rsidRPr="00215077" w:rsidRDefault="00694997" w:rsidP="00694997">
      <w:pPr>
        <w:ind w:firstLine="709"/>
        <w:jc w:val="both"/>
        <w:rPr>
          <w:sz w:val="28"/>
        </w:rPr>
      </w:pPr>
      <w:r w:rsidRPr="00215077">
        <w:rPr>
          <w:sz w:val="22"/>
        </w:rPr>
        <w:t>Os períodos secos apresentaram uma diminuição dos índices, em relação aos períodos chuvosos, comportamento esse destacado por conta da precipitação, apresentando vegetação mais densa e solo exposto, corpos d’água ou área construída, como também áreas de pastagem e arbustos e presença de corpos d’água, respectivamente, um fato comum das condições climáticas características da região</w:t>
      </w:r>
      <w:r w:rsidR="00EA7BF5" w:rsidRPr="00215077">
        <w:rPr>
          <w:sz w:val="22"/>
        </w:rPr>
        <w:t xml:space="preserve"> do bioma Caatinga.</w:t>
      </w:r>
    </w:p>
    <w:p w14:paraId="478E0354" w14:textId="77777777" w:rsidR="00E74C1E" w:rsidRPr="00215077" w:rsidRDefault="00E74C1E" w:rsidP="0038027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2E228C14" w14:textId="77777777" w:rsidR="00E74C1E" w:rsidRPr="00215077" w:rsidRDefault="00E74C1E" w:rsidP="00380272">
      <w:pPr>
        <w:pStyle w:val="TextosemFormatao"/>
        <w:spacing w:beforeAutospacing="0" w:afterAutospacing="0"/>
        <w:rPr>
          <w:rFonts w:ascii="Times New Roman" w:hAnsi="Times New Roman"/>
          <w:b/>
          <w:sz w:val="22"/>
          <w:szCs w:val="22"/>
          <w:lang w:val="pt-BR"/>
        </w:rPr>
      </w:pPr>
      <w:r w:rsidRPr="00215077">
        <w:rPr>
          <w:rFonts w:ascii="Times New Roman" w:hAnsi="Times New Roman"/>
          <w:b/>
          <w:sz w:val="22"/>
          <w:szCs w:val="22"/>
          <w:lang w:val="pt-BR"/>
        </w:rPr>
        <w:t xml:space="preserve">REFERÊNCIAS </w:t>
      </w:r>
    </w:p>
    <w:p w14:paraId="7E649794" w14:textId="77777777" w:rsidR="006B31F7" w:rsidRPr="00215077" w:rsidRDefault="006B31F7" w:rsidP="006B31F7">
      <w:pPr>
        <w:ind w:left="284" w:hanging="284"/>
        <w:jc w:val="both"/>
      </w:pPr>
      <w:r w:rsidRPr="00215077">
        <w:rPr>
          <w:sz w:val="22"/>
        </w:rPr>
        <w:t>Alencar, M.L.S. Os sistemas hídricos, o bioma caatinga e o social na bacia do Rio Sucuru: riscos e vulnerabilidades. 157f. Tese (Doutorado em Engenharia Agrícola). Departamento de Engenharia Agrícola. Universidade Federal de Campina Grande. Campina Grande, 2008</w:t>
      </w:r>
      <w:r w:rsidRPr="00215077">
        <w:t>.</w:t>
      </w:r>
    </w:p>
    <w:p w14:paraId="7418116F" w14:textId="77777777" w:rsidR="00CE7BB1" w:rsidRPr="00215077" w:rsidRDefault="00CE7BB1" w:rsidP="00CE7BB1">
      <w:pPr>
        <w:ind w:left="284" w:hanging="284"/>
        <w:jc w:val="both"/>
        <w:rPr>
          <w:rFonts w:eastAsia="SimSun"/>
          <w:sz w:val="22"/>
        </w:rPr>
      </w:pPr>
      <w:r w:rsidRPr="00215077">
        <w:rPr>
          <w:rFonts w:eastAsia="SimSun"/>
          <w:sz w:val="22"/>
        </w:rPr>
        <w:t>Barros, L.H.V. Compartimentos do relevo na Bacia Hidrográfica do Rio Catu (RN): uma abordagem cartográfica por meio de geotecnologias. 84f. Trabalho de Conclusão de Curso (Graduação em Geografia). Departamento de Geografia. Universidade Federal do Rio Grande do Norte. Natal, 2021.</w:t>
      </w:r>
    </w:p>
    <w:p w14:paraId="5A61B527" w14:textId="77777777" w:rsidR="00CE7BB1" w:rsidRPr="002036C1" w:rsidRDefault="00CE7BB1" w:rsidP="00CE7BB1">
      <w:pPr>
        <w:ind w:left="284" w:hanging="284"/>
        <w:jc w:val="both"/>
        <w:rPr>
          <w:sz w:val="22"/>
          <w:lang w:val="en-US"/>
        </w:rPr>
      </w:pPr>
      <w:r w:rsidRPr="00215077">
        <w:rPr>
          <w:sz w:val="22"/>
        </w:rPr>
        <w:t xml:space="preserve">Chagas, M.G.S. Condição biológica da vegetação em ecossistemas costeiros e do Sertão do Pajeú em Pernambuco. 123f. Tese (Doutorado em Desenvolvimento e Meio Ambiente). Centro de Filosofia e Ciências Humanas. </w:t>
      </w:r>
      <w:proofErr w:type="spellStart"/>
      <w:r w:rsidRPr="002036C1">
        <w:rPr>
          <w:sz w:val="22"/>
          <w:lang w:val="en-US"/>
        </w:rPr>
        <w:t>Universidade</w:t>
      </w:r>
      <w:proofErr w:type="spellEnd"/>
      <w:r w:rsidRPr="002036C1">
        <w:rPr>
          <w:sz w:val="22"/>
          <w:lang w:val="en-US"/>
        </w:rPr>
        <w:t xml:space="preserve"> Federal de Pernambuco. Recife, 2012.</w:t>
      </w:r>
    </w:p>
    <w:p w14:paraId="716F6D4F" w14:textId="77777777" w:rsidR="003F7C67" w:rsidRPr="00215077" w:rsidRDefault="003F7C67" w:rsidP="003F7C67">
      <w:pPr>
        <w:ind w:left="284" w:hanging="284"/>
        <w:jc w:val="both"/>
        <w:rPr>
          <w:sz w:val="22"/>
        </w:rPr>
      </w:pPr>
      <w:r w:rsidRPr="002036C1">
        <w:rPr>
          <w:sz w:val="22"/>
          <w:lang w:val="en-US"/>
        </w:rPr>
        <w:t>Campos-</w:t>
      </w:r>
      <w:proofErr w:type="spellStart"/>
      <w:r w:rsidRPr="002036C1">
        <w:rPr>
          <w:sz w:val="22"/>
          <w:lang w:val="en-US"/>
        </w:rPr>
        <w:t>Taberner</w:t>
      </w:r>
      <w:proofErr w:type="spellEnd"/>
      <w:r w:rsidRPr="002036C1">
        <w:rPr>
          <w:sz w:val="22"/>
          <w:lang w:val="en-US"/>
        </w:rPr>
        <w:t>, M.; Moreno-Martínez, Á.; García-</w:t>
      </w:r>
      <w:proofErr w:type="spellStart"/>
      <w:r w:rsidRPr="002036C1">
        <w:rPr>
          <w:sz w:val="22"/>
          <w:lang w:val="en-US"/>
        </w:rPr>
        <w:t>Haro</w:t>
      </w:r>
      <w:proofErr w:type="spellEnd"/>
      <w:r w:rsidRPr="002036C1">
        <w:rPr>
          <w:sz w:val="22"/>
          <w:lang w:val="en-US"/>
        </w:rPr>
        <w:t xml:space="preserve">, F. J.; Camps-Valls, G.; Robinson, N. P.; </w:t>
      </w:r>
      <w:proofErr w:type="spellStart"/>
      <w:r w:rsidRPr="002036C1">
        <w:rPr>
          <w:sz w:val="22"/>
          <w:lang w:val="en-US"/>
        </w:rPr>
        <w:t>Kattge</w:t>
      </w:r>
      <w:proofErr w:type="spellEnd"/>
      <w:r w:rsidRPr="002036C1">
        <w:rPr>
          <w:sz w:val="22"/>
          <w:lang w:val="en-US"/>
        </w:rPr>
        <w:t>, J.;</w:t>
      </w:r>
      <w:r w:rsidR="00783EB2" w:rsidRPr="002036C1">
        <w:rPr>
          <w:sz w:val="22"/>
          <w:lang w:val="en-US"/>
        </w:rPr>
        <w:t xml:space="preserve"> Running, S.</w:t>
      </w:r>
      <w:r w:rsidRPr="002036C1">
        <w:rPr>
          <w:sz w:val="22"/>
          <w:lang w:val="en-US"/>
        </w:rPr>
        <w:t>W. Global estimation of biophysical variables from Google Earth Engine platform. </w:t>
      </w:r>
      <w:r w:rsidRPr="00215077">
        <w:rPr>
          <w:sz w:val="22"/>
        </w:rPr>
        <w:t xml:space="preserve">Remote </w:t>
      </w:r>
      <w:proofErr w:type="spellStart"/>
      <w:r w:rsidRPr="00215077">
        <w:rPr>
          <w:sz w:val="22"/>
        </w:rPr>
        <w:t>Sensing</w:t>
      </w:r>
      <w:proofErr w:type="spellEnd"/>
      <w:r w:rsidRPr="00215077">
        <w:rPr>
          <w:sz w:val="22"/>
        </w:rPr>
        <w:t>, v.10, n.8, p.1167, 2018.</w:t>
      </w:r>
    </w:p>
    <w:p w14:paraId="5AC16F3A" w14:textId="77777777" w:rsidR="00357328" w:rsidRPr="00215077" w:rsidRDefault="00000000" w:rsidP="00357328">
      <w:pPr>
        <w:ind w:left="284" w:hanging="284"/>
        <w:jc w:val="both"/>
        <w:rPr>
          <w:sz w:val="22"/>
        </w:rPr>
      </w:pPr>
      <w:hyperlink r:id="rId9" w:tgtFrame="_blank" w:history="1">
        <w:r w:rsidR="00357328" w:rsidRPr="00215077">
          <w:rPr>
            <w:rStyle w:val="Hyperlink"/>
            <w:color w:val="auto"/>
            <w:sz w:val="22"/>
            <w:u w:val="none"/>
          </w:rPr>
          <w:t>Diniz, R.R.S.</w:t>
        </w:r>
      </w:hyperlink>
      <w:r w:rsidR="00357328" w:rsidRPr="00215077">
        <w:rPr>
          <w:sz w:val="22"/>
        </w:rPr>
        <w:t>; Alencar, M.L.S.; Medeiros, S.A.; Guerra, H.O.C.; Sales, J.C.R. Índice de anomalia de chuvas da Microrregião do Cariri Ocidental Paraibano. Revista Brasileira de Geografia Física,</w:t>
      </w:r>
      <w:r w:rsidR="00626066" w:rsidRPr="00215077">
        <w:rPr>
          <w:sz w:val="22"/>
        </w:rPr>
        <w:t xml:space="preserve"> v.13, n.6, p.</w:t>
      </w:r>
      <w:r w:rsidR="00357328" w:rsidRPr="00215077">
        <w:rPr>
          <w:sz w:val="22"/>
        </w:rPr>
        <w:t>2628-2640, 2020.</w:t>
      </w:r>
    </w:p>
    <w:p w14:paraId="49D4E3E7" w14:textId="77777777" w:rsidR="002C42C1" w:rsidRPr="002036C1" w:rsidRDefault="002C42C1" w:rsidP="002C42C1">
      <w:pPr>
        <w:ind w:left="284" w:hanging="284"/>
        <w:jc w:val="both"/>
        <w:rPr>
          <w:sz w:val="22"/>
          <w:lang w:val="en-US"/>
        </w:rPr>
      </w:pPr>
      <w:r w:rsidRPr="00215077">
        <w:rPr>
          <w:sz w:val="22"/>
        </w:rPr>
        <w:lastRenderedPageBreak/>
        <w:t>Drusch, M.; Del Bello, U.; Carlier, S.; Colin, O.; Fernandez, V.; Gascon, F.; Hoersch, B.; Isola, C.; Laberinti, P.; Martimort, P.; Meygret, A.; Spoto, F.; Sy, O.; Marchese, F.; Bargellini, P. entinel-2: ESA's optical high-resolution mission for GMES operational services. </w:t>
      </w:r>
      <w:r w:rsidRPr="002036C1">
        <w:rPr>
          <w:sz w:val="22"/>
          <w:lang w:val="en-US"/>
        </w:rPr>
        <w:t xml:space="preserve">Remote </w:t>
      </w:r>
      <w:r w:rsidR="00215077" w:rsidRPr="002036C1">
        <w:rPr>
          <w:sz w:val="22"/>
          <w:lang w:val="en-US"/>
        </w:rPr>
        <w:t xml:space="preserve">Sensing </w:t>
      </w:r>
      <w:r w:rsidRPr="002036C1">
        <w:rPr>
          <w:sz w:val="22"/>
          <w:lang w:val="en-US"/>
        </w:rPr>
        <w:t>of Environment, v.120, p.25-36, 2012.</w:t>
      </w:r>
    </w:p>
    <w:p w14:paraId="0737FAF9" w14:textId="77777777" w:rsidR="002C42C1" w:rsidRPr="00215077" w:rsidRDefault="002C42C1" w:rsidP="002C42C1">
      <w:pPr>
        <w:ind w:left="284" w:hanging="284"/>
        <w:jc w:val="both"/>
        <w:rPr>
          <w:sz w:val="22"/>
        </w:rPr>
      </w:pPr>
      <w:r w:rsidRPr="002036C1">
        <w:rPr>
          <w:sz w:val="22"/>
          <w:lang w:val="en-US"/>
        </w:rPr>
        <w:t xml:space="preserve">ESA. SENTINEL-2 User Handbook. </w:t>
      </w:r>
      <w:r w:rsidRPr="00215077">
        <w:rPr>
          <w:sz w:val="22"/>
        </w:rPr>
        <w:t>2015. Disponível em: &lt;https://sentinel.esa.int/documents/247904/685211/Sentinel-2_User_Handbook&gt;.</w:t>
      </w:r>
    </w:p>
    <w:p w14:paraId="09A3E512" w14:textId="77777777" w:rsidR="00F41AF1" w:rsidRPr="002036C1" w:rsidRDefault="00F41AF1" w:rsidP="00F41AF1">
      <w:pPr>
        <w:ind w:left="284" w:hanging="284"/>
        <w:jc w:val="both"/>
        <w:rPr>
          <w:sz w:val="22"/>
          <w:lang w:val="en-US"/>
        </w:rPr>
      </w:pPr>
      <w:r w:rsidRPr="00215077">
        <w:rPr>
          <w:sz w:val="22"/>
        </w:rPr>
        <w:t>Fitz, P.R. Classificação de imagens de satélite e índices espectrais de vegetação: uma análise comparativa. </w:t>
      </w:r>
      <w:proofErr w:type="spellStart"/>
      <w:r w:rsidRPr="002036C1">
        <w:rPr>
          <w:sz w:val="22"/>
          <w:lang w:val="en-US"/>
        </w:rPr>
        <w:t>Geosul</w:t>
      </w:r>
      <w:proofErr w:type="spellEnd"/>
      <w:r w:rsidR="00626066" w:rsidRPr="002036C1">
        <w:rPr>
          <w:sz w:val="22"/>
          <w:lang w:val="en-US"/>
        </w:rPr>
        <w:t>, v.35, n.76, p.</w:t>
      </w:r>
      <w:r w:rsidRPr="002036C1">
        <w:rPr>
          <w:sz w:val="22"/>
          <w:lang w:val="en-US"/>
        </w:rPr>
        <w:t>171-188, 2020.</w:t>
      </w:r>
    </w:p>
    <w:p w14:paraId="6F97A95F" w14:textId="77777777" w:rsidR="006B31F7" w:rsidRPr="00215077" w:rsidRDefault="006B31F7" w:rsidP="006B31F7">
      <w:pPr>
        <w:ind w:left="284" w:hanging="284"/>
        <w:jc w:val="both"/>
        <w:rPr>
          <w:sz w:val="22"/>
        </w:rPr>
      </w:pPr>
      <w:r w:rsidRPr="002036C1">
        <w:rPr>
          <w:sz w:val="22"/>
          <w:lang w:val="en-US"/>
        </w:rPr>
        <w:t xml:space="preserve">GOOGLE EARTH ENGINE. </w:t>
      </w:r>
      <w:r w:rsidRPr="002036C1">
        <w:rPr>
          <w:sz w:val="22"/>
          <w:shd w:val="clear" w:color="auto" w:fill="FFFFFF"/>
          <w:lang w:val="en-US"/>
        </w:rPr>
        <w:t>A planetary-scale platform for Earth science data &amp; analysis</w:t>
      </w:r>
      <w:r w:rsidRPr="002036C1">
        <w:rPr>
          <w:sz w:val="22"/>
          <w:lang w:val="en-US"/>
        </w:rPr>
        <w:t xml:space="preserve">, 2021. </w:t>
      </w:r>
      <w:r w:rsidRPr="00215077">
        <w:rPr>
          <w:sz w:val="22"/>
        </w:rPr>
        <w:t>Disponível em: &lt;https://earthengine.google.com/&gt;. Acesso em: 10 set. 2021.</w:t>
      </w:r>
    </w:p>
    <w:p w14:paraId="28498671" w14:textId="77777777" w:rsidR="00112D90" w:rsidRPr="003A4F72" w:rsidRDefault="00112D90" w:rsidP="00112D90">
      <w:pPr>
        <w:ind w:left="284" w:hanging="284"/>
        <w:jc w:val="both"/>
        <w:rPr>
          <w:sz w:val="22"/>
          <w:lang w:val="en-US"/>
        </w:rPr>
      </w:pPr>
      <w:proofErr w:type="spellStart"/>
      <w:r w:rsidRPr="002036C1">
        <w:rPr>
          <w:rFonts w:eastAsia="SimSun"/>
          <w:sz w:val="22"/>
        </w:rPr>
        <w:t>Huete</w:t>
      </w:r>
      <w:proofErr w:type="spellEnd"/>
      <w:r w:rsidRPr="002036C1">
        <w:rPr>
          <w:rFonts w:eastAsia="SimSun"/>
          <w:sz w:val="22"/>
        </w:rPr>
        <w:t>, A.R.</w:t>
      </w:r>
      <w:r w:rsidRPr="002036C1">
        <w:rPr>
          <w:sz w:val="22"/>
        </w:rPr>
        <w:t xml:space="preserve"> A </w:t>
      </w:r>
      <w:proofErr w:type="spellStart"/>
      <w:r w:rsidR="00215077" w:rsidRPr="002036C1">
        <w:rPr>
          <w:sz w:val="22"/>
        </w:rPr>
        <w:t>Soil</w:t>
      </w:r>
      <w:r w:rsidRPr="002036C1">
        <w:rPr>
          <w:sz w:val="22"/>
        </w:rPr>
        <w:t>-</w:t>
      </w:r>
      <w:r w:rsidR="00215077" w:rsidRPr="002036C1">
        <w:rPr>
          <w:sz w:val="22"/>
        </w:rPr>
        <w:t>Adjusted</w:t>
      </w:r>
      <w:proofErr w:type="spellEnd"/>
      <w:r w:rsidR="00215077" w:rsidRPr="002036C1">
        <w:rPr>
          <w:sz w:val="22"/>
        </w:rPr>
        <w:t xml:space="preserve"> </w:t>
      </w:r>
      <w:proofErr w:type="spellStart"/>
      <w:r w:rsidR="00215077" w:rsidRPr="002036C1">
        <w:rPr>
          <w:sz w:val="22"/>
        </w:rPr>
        <w:t>Vegetation</w:t>
      </w:r>
      <w:proofErr w:type="spellEnd"/>
      <w:r w:rsidR="00215077" w:rsidRPr="002036C1">
        <w:rPr>
          <w:sz w:val="22"/>
        </w:rPr>
        <w:t xml:space="preserve"> Index </w:t>
      </w:r>
      <w:r w:rsidRPr="002036C1">
        <w:rPr>
          <w:sz w:val="22"/>
        </w:rPr>
        <w:t>(SAVI). </w:t>
      </w:r>
      <w:r w:rsidRPr="003A4F72">
        <w:rPr>
          <w:sz w:val="22"/>
          <w:lang w:val="en-US"/>
        </w:rPr>
        <w:t xml:space="preserve">Remote </w:t>
      </w:r>
      <w:r w:rsidR="00215077" w:rsidRPr="003A4F72">
        <w:rPr>
          <w:sz w:val="22"/>
          <w:lang w:val="en-US"/>
        </w:rPr>
        <w:t xml:space="preserve">Sensing </w:t>
      </w:r>
      <w:r w:rsidRPr="003A4F72">
        <w:rPr>
          <w:sz w:val="22"/>
          <w:lang w:val="en-US"/>
        </w:rPr>
        <w:t xml:space="preserve">of </w:t>
      </w:r>
      <w:r w:rsidR="00215077" w:rsidRPr="003A4F72">
        <w:rPr>
          <w:sz w:val="22"/>
          <w:lang w:val="en-US"/>
        </w:rPr>
        <w:t>Environment</w:t>
      </w:r>
      <w:r w:rsidR="00626066" w:rsidRPr="003A4F72">
        <w:rPr>
          <w:sz w:val="22"/>
          <w:lang w:val="en-US"/>
        </w:rPr>
        <w:t>, v.25, n.3, p.</w:t>
      </w:r>
      <w:r w:rsidRPr="003A4F72">
        <w:rPr>
          <w:sz w:val="22"/>
          <w:lang w:val="en-US"/>
        </w:rPr>
        <w:t>295-309, 1988.</w:t>
      </w:r>
    </w:p>
    <w:p w14:paraId="27B76A4E" w14:textId="77777777" w:rsidR="006B31F7" w:rsidRPr="002036C1" w:rsidRDefault="006B31F7" w:rsidP="006B31F7">
      <w:pPr>
        <w:ind w:left="284" w:hanging="284"/>
        <w:jc w:val="both"/>
        <w:rPr>
          <w:sz w:val="22"/>
          <w:lang w:val="en-US"/>
        </w:rPr>
      </w:pPr>
      <w:r w:rsidRPr="00215077">
        <w:rPr>
          <w:sz w:val="22"/>
        </w:rPr>
        <w:t xml:space="preserve">IBGE. Instituto Brasileiro de Geografia e Estatística, 2009. Disponível em: &lt;http://www.ibge.gov.br/&gt;. </w:t>
      </w:r>
      <w:proofErr w:type="spellStart"/>
      <w:r w:rsidRPr="002036C1">
        <w:rPr>
          <w:sz w:val="22"/>
          <w:lang w:val="en-US"/>
        </w:rPr>
        <w:t>Acesso</w:t>
      </w:r>
      <w:proofErr w:type="spellEnd"/>
      <w:r w:rsidRPr="002036C1">
        <w:rPr>
          <w:sz w:val="22"/>
          <w:lang w:val="en-US"/>
        </w:rPr>
        <w:t xml:space="preserve"> </w:t>
      </w:r>
      <w:proofErr w:type="spellStart"/>
      <w:r w:rsidRPr="002036C1">
        <w:rPr>
          <w:sz w:val="22"/>
          <w:lang w:val="en-US"/>
        </w:rPr>
        <w:t>em</w:t>
      </w:r>
      <w:proofErr w:type="spellEnd"/>
      <w:r w:rsidRPr="002036C1">
        <w:rPr>
          <w:sz w:val="22"/>
          <w:lang w:val="en-US"/>
        </w:rPr>
        <w:t>: 10 set. 2021.</w:t>
      </w:r>
    </w:p>
    <w:p w14:paraId="4275F03A" w14:textId="77777777" w:rsidR="00626066" w:rsidRPr="00215077" w:rsidRDefault="00626066" w:rsidP="00626066">
      <w:pPr>
        <w:ind w:left="284" w:hanging="284"/>
        <w:jc w:val="both"/>
        <w:rPr>
          <w:sz w:val="22"/>
        </w:rPr>
      </w:pPr>
      <w:proofErr w:type="spellStart"/>
      <w:r w:rsidRPr="002036C1">
        <w:rPr>
          <w:sz w:val="22"/>
          <w:lang w:val="en-US"/>
        </w:rPr>
        <w:t>Karaburun</w:t>
      </w:r>
      <w:proofErr w:type="spellEnd"/>
      <w:r w:rsidRPr="002036C1">
        <w:rPr>
          <w:sz w:val="22"/>
          <w:lang w:val="en-US"/>
        </w:rPr>
        <w:t xml:space="preserve">, A. Estimation of C factor for soil erosion modeling using NDVI in </w:t>
      </w:r>
      <w:proofErr w:type="spellStart"/>
      <w:r w:rsidRPr="002036C1">
        <w:rPr>
          <w:sz w:val="22"/>
          <w:lang w:val="en-US"/>
        </w:rPr>
        <w:t>Buyukcekmece</w:t>
      </w:r>
      <w:proofErr w:type="spellEnd"/>
      <w:r w:rsidRPr="002036C1">
        <w:rPr>
          <w:sz w:val="22"/>
          <w:lang w:val="en-US"/>
        </w:rPr>
        <w:t xml:space="preserve"> watershed. </w:t>
      </w:r>
      <w:proofErr w:type="spellStart"/>
      <w:r w:rsidRPr="00215077">
        <w:rPr>
          <w:sz w:val="22"/>
        </w:rPr>
        <w:t>Ozean</w:t>
      </w:r>
      <w:proofErr w:type="spellEnd"/>
      <w:r w:rsidRPr="00215077">
        <w:rPr>
          <w:sz w:val="22"/>
        </w:rPr>
        <w:t xml:space="preserve"> Journal </w:t>
      </w:r>
      <w:proofErr w:type="spellStart"/>
      <w:r w:rsidRPr="00215077">
        <w:rPr>
          <w:sz w:val="22"/>
        </w:rPr>
        <w:t>of</w:t>
      </w:r>
      <w:proofErr w:type="spellEnd"/>
      <w:r w:rsidRPr="00215077">
        <w:rPr>
          <w:sz w:val="22"/>
        </w:rPr>
        <w:t xml:space="preserve"> Applied Sciences, v.3, n.1, p.77-85, 2010.</w:t>
      </w:r>
    </w:p>
    <w:p w14:paraId="418DBC42" w14:textId="77777777" w:rsidR="00F41AF1" w:rsidRPr="00215077" w:rsidRDefault="00F41AF1" w:rsidP="00F41AF1">
      <w:pPr>
        <w:ind w:left="284" w:hanging="284"/>
        <w:jc w:val="both"/>
        <w:rPr>
          <w:sz w:val="22"/>
        </w:rPr>
      </w:pPr>
      <w:r w:rsidRPr="00215077">
        <w:rPr>
          <w:sz w:val="22"/>
        </w:rPr>
        <w:t>Melo, E.T.; Sales, M.C.L.; Oliveira, J.G.B. Aplicação do Índice de Vegetação por Diferença Normalizada (NDVI) para análise da degradação ambiental da microbacia hidrográfica do Riacho dos Cavalos, Crateús-CE. </w:t>
      </w:r>
      <w:proofErr w:type="spellStart"/>
      <w:r w:rsidRPr="00215077">
        <w:rPr>
          <w:sz w:val="22"/>
        </w:rPr>
        <w:t>Raega</w:t>
      </w:r>
      <w:proofErr w:type="spellEnd"/>
      <w:r w:rsidR="00626066" w:rsidRPr="00215077">
        <w:rPr>
          <w:sz w:val="22"/>
        </w:rPr>
        <w:t>, v.</w:t>
      </w:r>
      <w:r w:rsidRPr="00215077">
        <w:rPr>
          <w:sz w:val="22"/>
        </w:rPr>
        <w:t xml:space="preserve">23, </w:t>
      </w:r>
      <w:r w:rsidR="00626066" w:rsidRPr="00215077">
        <w:rPr>
          <w:sz w:val="22"/>
        </w:rPr>
        <w:t>p.</w:t>
      </w:r>
      <w:r w:rsidRPr="00215077">
        <w:rPr>
          <w:sz w:val="22"/>
        </w:rPr>
        <w:t>520-533, 2011.</w:t>
      </w:r>
    </w:p>
    <w:p w14:paraId="757C0BFC" w14:textId="77777777" w:rsidR="00A2180B" w:rsidRPr="00215077" w:rsidRDefault="00A2180B" w:rsidP="00A2180B">
      <w:pPr>
        <w:ind w:left="284" w:hanging="284"/>
        <w:jc w:val="both"/>
        <w:rPr>
          <w:sz w:val="22"/>
        </w:rPr>
      </w:pPr>
      <w:r w:rsidRPr="00215077">
        <w:rPr>
          <w:sz w:val="22"/>
        </w:rPr>
        <w:t xml:space="preserve">Machado, C.C.C.; Galvíncio, J.D.; Oliveira, T.H. Análise espacial e temporal do SAVI e do albedo da superfície no município de São José do Sabugi-PB. Geografia, </w:t>
      </w:r>
      <w:r w:rsidR="00626066" w:rsidRPr="00215077">
        <w:rPr>
          <w:sz w:val="22"/>
        </w:rPr>
        <w:t>v.</w:t>
      </w:r>
      <w:r w:rsidRPr="00215077">
        <w:rPr>
          <w:sz w:val="22"/>
        </w:rPr>
        <w:t xml:space="preserve">36, n.2, </w:t>
      </w:r>
      <w:r w:rsidR="00626066" w:rsidRPr="00215077">
        <w:rPr>
          <w:sz w:val="22"/>
        </w:rPr>
        <w:t>p.</w:t>
      </w:r>
      <w:r w:rsidRPr="00215077">
        <w:rPr>
          <w:sz w:val="22"/>
        </w:rPr>
        <w:t>359-369, 2011.</w:t>
      </w:r>
    </w:p>
    <w:p w14:paraId="32E4C4D9" w14:textId="77777777" w:rsidR="00A2180B" w:rsidRPr="00215077" w:rsidRDefault="00A2180B" w:rsidP="00A2180B">
      <w:pPr>
        <w:ind w:left="284" w:hanging="284"/>
        <w:jc w:val="both"/>
        <w:rPr>
          <w:sz w:val="22"/>
        </w:rPr>
      </w:pPr>
      <w:r w:rsidRPr="00215077">
        <w:rPr>
          <w:sz w:val="22"/>
        </w:rPr>
        <w:t>Melo, M.V.N.; Oliveira, M.E.G.; Almeida, G.L.P.; Gomes, N.F.; Morales, K.R.M.; Santana, T.C.; Silva, P.C.; Moraes, A.S.; Pandorfi, H.; Silva, M.V. Spatiotemporal characterization of land cover and degradation in the agreste region of Pernambuco, Brazil, using cloud geoprocessing on Google Earth Engine. Remote Sensing Applications: Society and Environment</w:t>
      </w:r>
      <w:r w:rsidR="00626066" w:rsidRPr="00215077">
        <w:rPr>
          <w:sz w:val="22"/>
        </w:rPr>
        <w:t>, v.26, p.</w:t>
      </w:r>
      <w:r w:rsidRPr="00215077">
        <w:rPr>
          <w:sz w:val="22"/>
        </w:rPr>
        <w:t>100756, 2022.</w:t>
      </w:r>
    </w:p>
    <w:p w14:paraId="0D608DE1" w14:textId="77777777" w:rsidR="000842B6" w:rsidRPr="00215077" w:rsidRDefault="000842B6" w:rsidP="000842B6">
      <w:pPr>
        <w:ind w:left="284" w:hanging="284"/>
        <w:jc w:val="both"/>
        <w:rPr>
          <w:sz w:val="22"/>
        </w:rPr>
      </w:pPr>
      <w:r w:rsidRPr="00215077">
        <w:rPr>
          <w:sz w:val="22"/>
        </w:rPr>
        <w:t>Ornellas, J.L.; Lopes, E.R.N. NDVI aplicado nas alterações da reserva extrativista marinha Baía do Iguape. In:  Congresso Brasileiro de Gestão Ambiental, 11, Vitória, 2020. Anais...Vitória, 2020.</w:t>
      </w:r>
    </w:p>
    <w:p w14:paraId="4C2FAA6F" w14:textId="77777777" w:rsidR="004209F4" w:rsidRPr="00215077" w:rsidRDefault="00CE7BB1" w:rsidP="00CE7BB1">
      <w:pPr>
        <w:ind w:left="284" w:hanging="284"/>
        <w:jc w:val="both"/>
        <w:rPr>
          <w:sz w:val="22"/>
        </w:rPr>
      </w:pPr>
      <w:r w:rsidRPr="00215077">
        <w:rPr>
          <w:sz w:val="22"/>
        </w:rPr>
        <w:t>Ribeiro, E.P.; Nobrega, R.S.; Filho, F.O.M.; Moreira, E.B. 2016a. Estimativa dos índices de vegetação na detecção de mudanças ambientais na bacia hidrográfica do rio Pajeú. Geosul</w:t>
      </w:r>
      <w:r w:rsidR="003F7C67" w:rsidRPr="00215077">
        <w:rPr>
          <w:sz w:val="22"/>
        </w:rPr>
        <w:t>, v.31, n.62, p.</w:t>
      </w:r>
      <w:r w:rsidRPr="00215077">
        <w:rPr>
          <w:sz w:val="22"/>
        </w:rPr>
        <w:t>59-92, 2016.</w:t>
      </w:r>
    </w:p>
    <w:p w14:paraId="5BAA38EB" w14:textId="77777777" w:rsidR="00A2180B" w:rsidRPr="00215077" w:rsidRDefault="00A2180B" w:rsidP="00A2180B">
      <w:pPr>
        <w:ind w:left="284" w:hanging="284"/>
        <w:jc w:val="both"/>
        <w:rPr>
          <w:sz w:val="22"/>
        </w:rPr>
      </w:pPr>
      <w:r w:rsidRPr="00215077">
        <w:rPr>
          <w:sz w:val="22"/>
        </w:rPr>
        <w:t xml:space="preserve">Rêgo, S.C.A.; Lima, P.P.S.; Lima, M.N.S.; Monteiro, T.R.R. Análise comparativa dos índices de vegetação NDVI e SAVI no município de São Domingos do Cariri-PB. Revista </w:t>
      </w:r>
      <w:proofErr w:type="spellStart"/>
      <w:r w:rsidR="00215077" w:rsidRPr="00215077">
        <w:rPr>
          <w:sz w:val="22"/>
        </w:rPr>
        <w:t>Geonorte</w:t>
      </w:r>
      <w:proofErr w:type="spellEnd"/>
      <w:r w:rsidRPr="00215077">
        <w:rPr>
          <w:sz w:val="22"/>
        </w:rPr>
        <w:t>, v.3, n.5, p.1217–1229, 2012.</w:t>
      </w:r>
    </w:p>
    <w:p w14:paraId="2C566BFC" w14:textId="77777777" w:rsidR="004A0EDE" w:rsidRPr="00215077" w:rsidRDefault="004A0EDE" w:rsidP="004A0EDE">
      <w:pPr>
        <w:ind w:left="284" w:hanging="284"/>
        <w:jc w:val="both"/>
        <w:rPr>
          <w:sz w:val="22"/>
        </w:rPr>
      </w:pPr>
      <w:r w:rsidRPr="00215077">
        <w:rPr>
          <w:sz w:val="22"/>
        </w:rPr>
        <w:t>Sallo, F.D.S.; França, M.S.D.; Morais, D.M</w:t>
      </w:r>
      <w:r w:rsidR="00783EB2" w:rsidRPr="00215077">
        <w:rPr>
          <w:sz w:val="22"/>
        </w:rPr>
        <w:t>.</w:t>
      </w:r>
      <w:r w:rsidRPr="00215077">
        <w:rPr>
          <w:sz w:val="22"/>
        </w:rPr>
        <w:t>D.; Rodrigues, R.; Biudes, M.S. Estimativa de componentes do balanço de radiação em diferentes tipos de uso e cobertura do solo. Revista Ambiente &amp; Água</w:t>
      </w:r>
      <w:r w:rsidR="00626066" w:rsidRPr="00215077">
        <w:rPr>
          <w:sz w:val="22"/>
        </w:rPr>
        <w:t>, v 9, p.</w:t>
      </w:r>
      <w:r w:rsidRPr="00215077">
        <w:rPr>
          <w:sz w:val="22"/>
        </w:rPr>
        <w:t>347-358, 2014.</w:t>
      </w:r>
    </w:p>
    <w:p w14:paraId="0A796982" w14:textId="77777777" w:rsidR="007E3928" w:rsidRPr="002036C1" w:rsidRDefault="007E3928" w:rsidP="007E3928">
      <w:pPr>
        <w:ind w:left="284" w:hanging="284"/>
        <w:jc w:val="both"/>
        <w:rPr>
          <w:sz w:val="22"/>
          <w:lang w:val="en-US"/>
        </w:rPr>
      </w:pPr>
      <w:r w:rsidRPr="00215077">
        <w:rPr>
          <w:sz w:val="22"/>
        </w:rPr>
        <w:t>Silva, M.V.; Pandorfi, H.; Lopes, P.M.O.; Silva, J.L.B.; Almeida, G.L.P.; Silva, D.A.D.O.; Santos, A.; Rodrigues, J.A.D.M.; Batista, P.H.D.; Jardim, A.M.D.R.F.  </w:t>
      </w:r>
      <w:r w:rsidRPr="002036C1">
        <w:rPr>
          <w:sz w:val="22"/>
          <w:lang w:val="en-US"/>
        </w:rPr>
        <w:t xml:space="preserve">Pilot monitoring of caatinga spatial-temporal dynamics through the action of agriculture and livestock in the </w:t>
      </w:r>
      <w:proofErr w:type="spellStart"/>
      <w:r w:rsidRPr="002036C1">
        <w:rPr>
          <w:sz w:val="22"/>
          <w:lang w:val="en-US"/>
        </w:rPr>
        <w:t>brazilian</w:t>
      </w:r>
      <w:proofErr w:type="spellEnd"/>
      <w:r w:rsidRPr="002036C1">
        <w:rPr>
          <w:sz w:val="22"/>
          <w:lang w:val="en-US"/>
        </w:rPr>
        <w:t xml:space="preserve"> semiarid. Remote Sensing Applications: Society and Environment, v. 19, p. 100353, 2020a.</w:t>
      </w:r>
    </w:p>
    <w:p w14:paraId="6ED15439" w14:textId="77777777" w:rsidR="007E3928" w:rsidRPr="002036C1" w:rsidRDefault="007E3928" w:rsidP="007E3928">
      <w:pPr>
        <w:ind w:left="284" w:hanging="284"/>
        <w:jc w:val="both"/>
        <w:rPr>
          <w:sz w:val="22"/>
          <w:lang w:val="en-US"/>
        </w:rPr>
      </w:pPr>
      <w:r w:rsidRPr="002036C1">
        <w:rPr>
          <w:sz w:val="22"/>
          <w:lang w:val="en-US"/>
        </w:rPr>
        <w:t>Silva, J.L.B.; Moura, G.B.A.; Silva, M.V.; Lopes, P.M.O.; Guedes, R.V.S.; Silva, Ê.F.D.F.; Ortiz, P.F.S.; Rodrigues, J.A.M. Changes in the water resources, soil use and spatial dynamics of Caatinga vegetation cover over semiarid region of the Brazilian Northeast. Remote Sensing Applications: Society and Environment, v.20, p.100372, 2020b.</w:t>
      </w:r>
    </w:p>
    <w:p w14:paraId="6F991128" w14:textId="77777777" w:rsidR="007E3928" w:rsidRPr="00215077" w:rsidRDefault="007E3928" w:rsidP="007E3928">
      <w:pPr>
        <w:ind w:left="284" w:hanging="284"/>
        <w:jc w:val="both"/>
        <w:rPr>
          <w:sz w:val="22"/>
        </w:rPr>
      </w:pPr>
      <w:r w:rsidRPr="002036C1">
        <w:rPr>
          <w:sz w:val="22"/>
          <w:lang w:val="en-US"/>
        </w:rPr>
        <w:t xml:space="preserve">Silva, M.V.; </w:t>
      </w:r>
      <w:proofErr w:type="spellStart"/>
      <w:r w:rsidRPr="002036C1">
        <w:rPr>
          <w:sz w:val="22"/>
          <w:lang w:val="en-US"/>
        </w:rPr>
        <w:t>Pandorfi</w:t>
      </w:r>
      <w:proofErr w:type="spellEnd"/>
      <w:r w:rsidRPr="002036C1">
        <w:rPr>
          <w:sz w:val="22"/>
          <w:lang w:val="en-US"/>
        </w:rPr>
        <w:t xml:space="preserve">, H.; Almeida, G.L.P.; Lima, R.P.; Santos, A.; Jardim, A.M.D.R.F.; </w:t>
      </w:r>
      <w:proofErr w:type="spellStart"/>
      <w:r w:rsidRPr="002036C1">
        <w:rPr>
          <w:sz w:val="22"/>
          <w:lang w:val="en-US"/>
        </w:rPr>
        <w:t>Rolim</w:t>
      </w:r>
      <w:proofErr w:type="spellEnd"/>
      <w:r w:rsidRPr="002036C1">
        <w:rPr>
          <w:sz w:val="22"/>
          <w:lang w:val="en-US"/>
        </w:rPr>
        <w:t xml:space="preserve">, M.M.; Silva, J.L.B.; Batista, P.H.D.; Silva, R.A.B.; Lopes, P.M.O.; Silva, D.C. </w:t>
      </w:r>
      <w:proofErr w:type="spellStart"/>
      <w:r w:rsidRPr="002036C1">
        <w:rPr>
          <w:sz w:val="22"/>
          <w:lang w:val="en-US"/>
        </w:rPr>
        <w:t>Spatio</w:t>
      </w:r>
      <w:proofErr w:type="spellEnd"/>
      <w:r w:rsidRPr="002036C1">
        <w:rPr>
          <w:sz w:val="22"/>
          <w:lang w:val="en-US"/>
        </w:rPr>
        <w:t>-temporal monitoring of soil and plant indicators under forage cactus cultivation by geoprocessing in Brazilian semi-arid region. </w:t>
      </w:r>
      <w:r w:rsidRPr="00215077">
        <w:rPr>
          <w:sz w:val="22"/>
        </w:rPr>
        <w:t xml:space="preserve">Journal </w:t>
      </w:r>
      <w:proofErr w:type="spellStart"/>
      <w:r w:rsidRPr="00215077">
        <w:rPr>
          <w:sz w:val="22"/>
        </w:rPr>
        <w:t>of</w:t>
      </w:r>
      <w:proofErr w:type="spellEnd"/>
      <w:r w:rsidRPr="00215077">
        <w:rPr>
          <w:sz w:val="22"/>
        </w:rPr>
        <w:t xml:space="preserve"> South American Earth Sciences, v.107, p.103155, 2021.</w:t>
      </w:r>
    </w:p>
    <w:p w14:paraId="5E340E83" w14:textId="77777777" w:rsidR="004A0EDE" w:rsidRPr="00215077" w:rsidRDefault="004A0EDE" w:rsidP="004A0EDE">
      <w:pPr>
        <w:ind w:left="284" w:hanging="284"/>
        <w:jc w:val="both"/>
        <w:rPr>
          <w:sz w:val="22"/>
        </w:rPr>
      </w:pPr>
      <w:r w:rsidRPr="00215077">
        <w:rPr>
          <w:sz w:val="22"/>
        </w:rPr>
        <w:t>Santos, E.I.; Alencar, M.L.S.; Schramm, V.B.; Santos, J.S.; Nascimento, M.T.C.C. Uso de Geotecnologias no estudo da degradação das terras da bacia do Rio Sucuru, na Paraíba. Ciência e Natura, v.42, p.1, 2020.</w:t>
      </w:r>
    </w:p>
    <w:p w14:paraId="0E1D8F7C" w14:textId="77777777" w:rsidR="006B31F7" w:rsidRPr="00215077" w:rsidRDefault="006B31F7" w:rsidP="006B31F7">
      <w:pPr>
        <w:ind w:left="284" w:hanging="284"/>
        <w:jc w:val="both"/>
        <w:rPr>
          <w:sz w:val="22"/>
          <w:szCs w:val="22"/>
        </w:rPr>
      </w:pPr>
      <w:r w:rsidRPr="003A4F72">
        <w:rPr>
          <w:sz w:val="22"/>
        </w:rPr>
        <w:t xml:space="preserve">USGS. United States Geological Survey. </w:t>
      </w:r>
      <w:r w:rsidRPr="00215077">
        <w:rPr>
          <w:sz w:val="22"/>
        </w:rPr>
        <w:t>Earth Explorer, 2021. Disponível em: &lt;https://earthexplorer.usgs.gov/&gt;. Acesso em: 10 set. 2021.</w:t>
      </w:r>
    </w:p>
    <w:sectPr w:rsidR="006B31F7" w:rsidRPr="00215077" w:rsidSect="006239A5">
      <w:headerReference w:type="default" r:id="rId10"/>
      <w:footerReference w:type="default" r:id="rId11"/>
      <w:headerReference w:type="first" r:id="rId12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96DF" w14:textId="77777777" w:rsidR="00641EB0" w:rsidRDefault="00641EB0">
      <w:r>
        <w:separator/>
      </w:r>
    </w:p>
  </w:endnote>
  <w:endnote w:type="continuationSeparator" w:id="0">
    <w:p w14:paraId="08F72693" w14:textId="77777777" w:rsidR="00641EB0" w:rsidRDefault="0064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6" w:type="dxa"/>
      <w:tblLook w:val="04A0" w:firstRow="1" w:lastRow="0" w:firstColumn="1" w:lastColumn="0" w:noHBand="0" w:noVBand="1"/>
    </w:tblPr>
    <w:tblGrid>
      <w:gridCol w:w="3761"/>
      <w:gridCol w:w="5625"/>
    </w:tblGrid>
    <w:tr w:rsidR="000B6C1E" w14:paraId="7A5CC41C" w14:textId="77777777" w:rsidTr="00E210F1">
      <w:trPr>
        <w:trHeight w:val="312"/>
      </w:trPr>
      <w:tc>
        <w:tcPr>
          <w:tcW w:w="3761" w:type="dxa"/>
          <w:shd w:val="clear" w:color="auto" w:fill="auto"/>
          <w:vAlign w:val="center"/>
        </w:tcPr>
        <w:p w14:paraId="1B8E86D7" w14:textId="77777777" w:rsidR="000B6C1E" w:rsidRDefault="00F36470" w:rsidP="00E210F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279133CD" wp14:editId="087D0EC0">
                <wp:extent cx="1504950" cy="3143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shd w:val="clear" w:color="auto" w:fill="auto"/>
          <w:vAlign w:val="center"/>
        </w:tcPr>
        <w:p w14:paraId="45D79430" w14:textId="77777777" w:rsidR="000B6C1E" w:rsidRDefault="00F36470" w:rsidP="00E210F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0AB95F8" wp14:editId="11A52A1B">
                <wp:extent cx="2628900" cy="2476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DC5BBC" w14:textId="77777777" w:rsidR="00C9142B" w:rsidRDefault="00C9142B" w:rsidP="00C9142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403E" w14:textId="77777777" w:rsidR="00641EB0" w:rsidRDefault="00641EB0">
      <w:r>
        <w:separator/>
      </w:r>
    </w:p>
  </w:footnote>
  <w:footnote w:type="continuationSeparator" w:id="0">
    <w:p w14:paraId="31691450" w14:textId="77777777" w:rsidR="00641EB0" w:rsidRDefault="0064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FC73" w14:textId="77777777" w:rsidR="002D3B27" w:rsidRDefault="00F36470" w:rsidP="002D3B27">
    <w:pPr>
      <w:pStyle w:val="Cabealho"/>
      <w:jc w:val="center"/>
    </w:pPr>
    <w:r>
      <w:rPr>
        <w:noProof/>
      </w:rPr>
      <w:drawing>
        <wp:inline distT="0" distB="0" distL="0" distR="0" wp14:anchorId="10911E7D" wp14:editId="2A4B588F">
          <wp:extent cx="2266950" cy="4572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3" b="27983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F1A4" w14:textId="77777777" w:rsidR="001E5D40" w:rsidRDefault="00F36470" w:rsidP="001E5D40">
    <w:pPr>
      <w:pStyle w:val="Cabealho"/>
      <w:jc w:val="center"/>
    </w:pPr>
    <w:r>
      <w:rPr>
        <w:noProof/>
      </w:rPr>
      <w:drawing>
        <wp:inline distT="0" distB="0" distL="0" distR="0" wp14:anchorId="084D0D94" wp14:editId="0F0E89FC">
          <wp:extent cx="3629025" cy="7620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3" b="2798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82893" w14:textId="77777777" w:rsidR="000E5C33" w:rsidRPr="0077341C" w:rsidRDefault="000E5C33">
    <w:pPr>
      <w:pStyle w:val="Cabealho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DD"/>
    <w:rsid w:val="0000058A"/>
    <w:rsid w:val="00002FF4"/>
    <w:rsid w:val="00007BF5"/>
    <w:rsid w:val="000115A3"/>
    <w:rsid w:val="00015B60"/>
    <w:rsid w:val="00020CBE"/>
    <w:rsid w:val="00022D0B"/>
    <w:rsid w:val="00030F47"/>
    <w:rsid w:val="00031AA0"/>
    <w:rsid w:val="00031C22"/>
    <w:rsid w:val="00031C75"/>
    <w:rsid w:val="00041E44"/>
    <w:rsid w:val="00046884"/>
    <w:rsid w:val="0005714A"/>
    <w:rsid w:val="000611A5"/>
    <w:rsid w:val="0006391F"/>
    <w:rsid w:val="00064CB9"/>
    <w:rsid w:val="000665C4"/>
    <w:rsid w:val="000807C9"/>
    <w:rsid w:val="000842B6"/>
    <w:rsid w:val="000B0828"/>
    <w:rsid w:val="000B2226"/>
    <w:rsid w:val="000B68FC"/>
    <w:rsid w:val="000B6B96"/>
    <w:rsid w:val="000B6C1E"/>
    <w:rsid w:val="000D0CA6"/>
    <w:rsid w:val="000D3765"/>
    <w:rsid w:val="000D387B"/>
    <w:rsid w:val="000D4A70"/>
    <w:rsid w:val="000E078A"/>
    <w:rsid w:val="000E5C33"/>
    <w:rsid w:val="000F16C5"/>
    <w:rsid w:val="000F22D6"/>
    <w:rsid w:val="000F2346"/>
    <w:rsid w:val="000F294D"/>
    <w:rsid w:val="001003ED"/>
    <w:rsid w:val="00102D6D"/>
    <w:rsid w:val="00103D6C"/>
    <w:rsid w:val="001045BA"/>
    <w:rsid w:val="00104813"/>
    <w:rsid w:val="00105C9B"/>
    <w:rsid w:val="0011093A"/>
    <w:rsid w:val="00111469"/>
    <w:rsid w:val="00112D90"/>
    <w:rsid w:val="00113EC9"/>
    <w:rsid w:val="00120B27"/>
    <w:rsid w:val="0012528B"/>
    <w:rsid w:val="0012588F"/>
    <w:rsid w:val="001320A2"/>
    <w:rsid w:val="0013606C"/>
    <w:rsid w:val="001549BA"/>
    <w:rsid w:val="00160C42"/>
    <w:rsid w:val="00162A59"/>
    <w:rsid w:val="0017235A"/>
    <w:rsid w:val="00173A2D"/>
    <w:rsid w:val="001751BC"/>
    <w:rsid w:val="001808CA"/>
    <w:rsid w:val="00180C1A"/>
    <w:rsid w:val="001813B6"/>
    <w:rsid w:val="00183167"/>
    <w:rsid w:val="00187485"/>
    <w:rsid w:val="00187604"/>
    <w:rsid w:val="001901C1"/>
    <w:rsid w:val="001A520A"/>
    <w:rsid w:val="001A5BA0"/>
    <w:rsid w:val="001A77CC"/>
    <w:rsid w:val="001B0846"/>
    <w:rsid w:val="001B0BDB"/>
    <w:rsid w:val="001B4FCE"/>
    <w:rsid w:val="001B5960"/>
    <w:rsid w:val="001B5B60"/>
    <w:rsid w:val="001B7ADB"/>
    <w:rsid w:val="001C3107"/>
    <w:rsid w:val="001C4648"/>
    <w:rsid w:val="001C696E"/>
    <w:rsid w:val="001C72BE"/>
    <w:rsid w:val="001C7930"/>
    <w:rsid w:val="001D0FF4"/>
    <w:rsid w:val="001E2B04"/>
    <w:rsid w:val="001E5D40"/>
    <w:rsid w:val="001E6C02"/>
    <w:rsid w:val="001E78BA"/>
    <w:rsid w:val="001F074C"/>
    <w:rsid w:val="001F1C78"/>
    <w:rsid w:val="002036C1"/>
    <w:rsid w:val="0020459D"/>
    <w:rsid w:val="0020696C"/>
    <w:rsid w:val="00206DD8"/>
    <w:rsid w:val="002074D6"/>
    <w:rsid w:val="002115F3"/>
    <w:rsid w:val="00211A1D"/>
    <w:rsid w:val="00215077"/>
    <w:rsid w:val="00215271"/>
    <w:rsid w:val="00215368"/>
    <w:rsid w:val="00215B04"/>
    <w:rsid w:val="00217832"/>
    <w:rsid w:val="00230277"/>
    <w:rsid w:val="00235CCC"/>
    <w:rsid w:val="002435AB"/>
    <w:rsid w:val="00252D33"/>
    <w:rsid w:val="002549A2"/>
    <w:rsid w:val="00256905"/>
    <w:rsid w:val="00263D21"/>
    <w:rsid w:val="002670E6"/>
    <w:rsid w:val="0026715B"/>
    <w:rsid w:val="002677CA"/>
    <w:rsid w:val="00272C04"/>
    <w:rsid w:val="002768AB"/>
    <w:rsid w:val="00280C84"/>
    <w:rsid w:val="00280E2A"/>
    <w:rsid w:val="00282CF3"/>
    <w:rsid w:val="002850CC"/>
    <w:rsid w:val="002863B2"/>
    <w:rsid w:val="0029461D"/>
    <w:rsid w:val="00295380"/>
    <w:rsid w:val="002A5867"/>
    <w:rsid w:val="002A691F"/>
    <w:rsid w:val="002A70F7"/>
    <w:rsid w:val="002B215D"/>
    <w:rsid w:val="002B2B10"/>
    <w:rsid w:val="002B2EBF"/>
    <w:rsid w:val="002C043A"/>
    <w:rsid w:val="002C15A4"/>
    <w:rsid w:val="002C3529"/>
    <w:rsid w:val="002C42C1"/>
    <w:rsid w:val="002C44F8"/>
    <w:rsid w:val="002D3B27"/>
    <w:rsid w:val="002D3DE5"/>
    <w:rsid w:val="002D3E20"/>
    <w:rsid w:val="002D4D50"/>
    <w:rsid w:val="002D7202"/>
    <w:rsid w:val="002E1BEA"/>
    <w:rsid w:val="00304210"/>
    <w:rsid w:val="00304ACD"/>
    <w:rsid w:val="003129A0"/>
    <w:rsid w:val="003151E7"/>
    <w:rsid w:val="00321987"/>
    <w:rsid w:val="00336586"/>
    <w:rsid w:val="003412C2"/>
    <w:rsid w:val="00344AA8"/>
    <w:rsid w:val="00347789"/>
    <w:rsid w:val="003507A3"/>
    <w:rsid w:val="003508B6"/>
    <w:rsid w:val="00351DA5"/>
    <w:rsid w:val="00356BBE"/>
    <w:rsid w:val="003571A1"/>
    <w:rsid w:val="00357328"/>
    <w:rsid w:val="003619B2"/>
    <w:rsid w:val="00361DB0"/>
    <w:rsid w:val="0036293A"/>
    <w:rsid w:val="0036576A"/>
    <w:rsid w:val="00367E45"/>
    <w:rsid w:val="0037404C"/>
    <w:rsid w:val="00377C28"/>
    <w:rsid w:val="00380272"/>
    <w:rsid w:val="003A4F72"/>
    <w:rsid w:val="003A7F72"/>
    <w:rsid w:val="003B15B3"/>
    <w:rsid w:val="003B1844"/>
    <w:rsid w:val="003B18DE"/>
    <w:rsid w:val="003B2FEB"/>
    <w:rsid w:val="003B3CF2"/>
    <w:rsid w:val="003B4229"/>
    <w:rsid w:val="003C04FA"/>
    <w:rsid w:val="003C7313"/>
    <w:rsid w:val="003D05A0"/>
    <w:rsid w:val="003D3A56"/>
    <w:rsid w:val="003E27A1"/>
    <w:rsid w:val="003E73B2"/>
    <w:rsid w:val="003F165D"/>
    <w:rsid w:val="003F1A67"/>
    <w:rsid w:val="003F3725"/>
    <w:rsid w:val="003F4681"/>
    <w:rsid w:val="003F6D04"/>
    <w:rsid w:val="003F7C67"/>
    <w:rsid w:val="00401337"/>
    <w:rsid w:val="00405D83"/>
    <w:rsid w:val="00414216"/>
    <w:rsid w:val="004209F4"/>
    <w:rsid w:val="00430C8F"/>
    <w:rsid w:val="00430F54"/>
    <w:rsid w:val="004319F0"/>
    <w:rsid w:val="00433370"/>
    <w:rsid w:val="00436F24"/>
    <w:rsid w:val="00437A35"/>
    <w:rsid w:val="0044178C"/>
    <w:rsid w:val="00442EEF"/>
    <w:rsid w:val="00443D4A"/>
    <w:rsid w:val="004449C6"/>
    <w:rsid w:val="00445880"/>
    <w:rsid w:val="00446C8A"/>
    <w:rsid w:val="00446D3A"/>
    <w:rsid w:val="00460F42"/>
    <w:rsid w:val="004656D7"/>
    <w:rsid w:val="004774F8"/>
    <w:rsid w:val="00477768"/>
    <w:rsid w:val="00480EE5"/>
    <w:rsid w:val="00481820"/>
    <w:rsid w:val="004822E1"/>
    <w:rsid w:val="004903B2"/>
    <w:rsid w:val="00490EAC"/>
    <w:rsid w:val="004A09A0"/>
    <w:rsid w:val="004A0EDE"/>
    <w:rsid w:val="004A78C8"/>
    <w:rsid w:val="004A7ADE"/>
    <w:rsid w:val="004B1B8B"/>
    <w:rsid w:val="004B50D9"/>
    <w:rsid w:val="004C0C8B"/>
    <w:rsid w:val="004C4A01"/>
    <w:rsid w:val="004D050A"/>
    <w:rsid w:val="004D2845"/>
    <w:rsid w:val="004E1B2A"/>
    <w:rsid w:val="004E2311"/>
    <w:rsid w:val="004E566E"/>
    <w:rsid w:val="004F1E8F"/>
    <w:rsid w:val="004F6E7E"/>
    <w:rsid w:val="004F7F6D"/>
    <w:rsid w:val="005033DD"/>
    <w:rsid w:val="005051B1"/>
    <w:rsid w:val="00513668"/>
    <w:rsid w:val="005208E0"/>
    <w:rsid w:val="00520DC9"/>
    <w:rsid w:val="0052318E"/>
    <w:rsid w:val="0052335F"/>
    <w:rsid w:val="005242BC"/>
    <w:rsid w:val="0052436B"/>
    <w:rsid w:val="005252AF"/>
    <w:rsid w:val="005330E9"/>
    <w:rsid w:val="005412B8"/>
    <w:rsid w:val="00541634"/>
    <w:rsid w:val="00541EB0"/>
    <w:rsid w:val="00543552"/>
    <w:rsid w:val="00563D49"/>
    <w:rsid w:val="005658E5"/>
    <w:rsid w:val="005668B9"/>
    <w:rsid w:val="00572076"/>
    <w:rsid w:val="005B0E11"/>
    <w:rsid w:val="005B268D"/>
    <w:rsid w:val="005B4ABF"/>
    <w:rsid w:val="005B4C2A"/>
    <w:rsid w:val="005B5064"/>
    <w:rsid w:val="005C1645"/>
    <w:rsid w:val="005D48C9"/>
    <w:rsid w:val="005E66E5"/>
    <w:rsid w:val="00601DB7"/>
    <w:rsid w:val="00602496"/>
    <w:rsid w:val="00605E89"/>
    <w:rsid w:val="00611409"/>
    <w:rsid w:val="006126D9"/>
    <w:rsid w:val="00620A30"/>
    <w:rsid w:val="006239A5"/>
    <w:rsid w:val="00625041"/>
    <w:rsid w:val="00626066"/>
    <w:rsid w:val="0063051F"/>
    <w:rsid w:val="0063353D"/>
    <w:rsid w:val="006360A8"/>
    <w:rsid w:val="00637B4C"/>
    <w:rsid w:val="00641EB0"/>
    <w:rsid w:val="00645632"/>
    <w:rsid w:val="00655EA1"/>
    <w:rsid w:val="006611A3"/>
    <w:rsid w:val="0066158A"/>
    <w:rsid w:val="0066176E"/>
    <w:rsid w:val="00662768"/>
    <w:rsid w:val="00666328"/>
    <w:rsid w:val="006673CA"/>
    <w:rsid w:val="00667EC0"/>
    <w:rsid w:val="006713F0"/>
    <w:rsid w:val="0067252E"/>
    <w:rsid w:val="00673440"/>
    <w:rsid w:val="0067471E"/>
    <w:rsid w:val="006841C2"/>
    <w:rsid w:val="0068456A"/>
    <w:rsid w:val="00686F32"/>
    <w:rsid w:val="00692338"/>
    <w:rsid w:val="006948E7"/>
    <w:rsid w:val="00694997"/>
    <w:rsid w:val="00696BA7"/>
    <w:rsid w:val="00696D2A"/>
    <w:rsid w:val="006A044B"/>
    <w:rsid w:val="006B0256"/>
    <w:rsid w:val="006B0D93"/>
    <w:rsid w:val="006B2448"/>
    <w:rsid w:val="006B31F7"/>
    <w:rsid w:val="006B493A"/>
    <w:rsid w:val="006B6451"/>
    <w:rsid w:val="006C33F7"/>
    <w:rsid w:val="006C604F"/>
    <w:rsid w:val="006C62D8"/>
    <w:rsid w:val="006C666F"/>
    <w:rsid w:val="006D2DD8"/>
    <w:rsid w:val="006D69DB"/>
    <w:rsid w:val="006D714C"/>
    <w:rsid w:val="006D7BEF"/>
    <w:rsid w:val="006E4A19"/>
    <w:rsid w:val="006E767D"/>
    <w:rsid w:val="006F0E1F"/>
    <w:rsid w:val="006F5FE0"/>
    <w:rsid w:val="006F63F6"/>
    <w:rsid w:val="0070327F"/>
    <w:rsid w:val="00711EF0"/>
    <w:rsid w:val="007145D1"/>
    <w:rsid w:val="007248A3"/>
    <w:rsid w:val="00724DA9"/>
    <w:rsid w:val="007324AD"/>
    <w:rsid w:val="00737322"/>
    <w:rsid w:val="00741C6A"/>
    <w:rsid w:val="0074320B"/>
    <w:rsid w:val="00745766"/>
    <w:rsid w:val="00752C12"/>
    <w:rsid w:val="00764F31"/>
    <w:rsid w:val="0077341C"/>
    <w:rsid w:val="007740A8"/>
    <w:rsid w:val="00774238"/>
    <w:rsid w:val="00783EB2"/>
    <w:rsid w:val="00792178"/>
    <w:rsid w:val="0079347F"/>
    <w:rsid w:val="00793CE6"/>
    <w:rsid w:val="007A0EE3"/>
    <w:rsid w:val="007A0FE5"/>
    <w:rsid w:val="007A15B5"/>
    <w:rsid w:val="007A3367"/>
    <w:rsid w:val="007A6D13"/>
    <w:rsid w:val="007A6F7C"/>
    <w:rsid w:val="007B2B91"/>
    <w:rsid w:val="007B57F9"/>
    <w:rsid w:val="007B5D06"/>
    <w:rsid w:val="007C083E"/>
    <w:rsid w:val="007C4D3A"/>
    <w:rsid w:val="007C6EC5"/>
    <w:rsid w:val="007D0776"/>
    <w:rsid w:val="007D1082"/>
    <w:rsid w:val="007E3928"/>
    <w:rsid w:val="007E6C53"/>
    <w:rsid w:val="007F0798"/>
    <w:rsid w:val="007F3F2C"/>
    <w:rsid w:val="007F5126"/>
    <w:rsid w:val="007F72A5"/>
    <w:rsid w:val="00804EE8"/>
    <w:rsid w:val="008077D4"/>
    <w:rsid w:val="0081570E"/>
    <w:rsid w:val="00817190"/>
    <w:rsid w:val="0082080B"/>
    <w:rsid w:val="008219CC"/>
    <w:rsid w:val="00831835"/>
    <w:rsid w:val="008431A3"/>
    <w:rsid w:val="00846293"/>
    <w:rsid w:val="00850CFC"/>
    <w:rsid w:val="00865856"/>
    <w:rsid w:val="0087058C"/>
    <w:rsid w:val="008723F4"/>
    <w:rsid w:val="008A2DA1"/>
    <w:rsid w:val="008A413B"/>
    <w:rsid w:val="008A610B"/>
    <w:rsid w:val="008A6F55"/>
    <w:rsid w:val="008C106E"/>
    <w:rsid w:val="008C1D5F"/>
    <w:rsid w:val="008C436D"/>
    <w:rsid w:val="008D7AA5"/>
    <w:rsid w:val="008F085A"/>
    <w:rsid w:val="008F0D9F"/>
    <w:rsid w:val="008F72EA"/>
    <w:rsid w:val="009020E0"/>
    <w:rsid w:val="00906AF4"/>
    <w:rsid w:val="0091208C"/>
    <w:rsid w:val="0091228C"/>
    <w:rsid w:val="009139C1"/>
    <w:rsid w:val="00913E4D"/>
    <w:rsid w:val="00917571"/>
    <w:rsid w:val="00917D1D"/>
    <w:rsid w:val="0092075D"/>
    <w:rsid w:val="00922128"/>
    <w:rsid w:val="00924494"/>
    <w:rsid w:val="00933F95"/>
    <w:rsid w:val="00940AB9"/>
    <w:rsid w:val="0094773C"/>
    <w:rsid w:val="00953421"/>
    <w:rsid w:val="0097685C"/>
    <w:rsid w:val="00976B0A"/>
    <w:rsid w:val="00981719"/>
    <w:rsid w:val="00985351"/>
    <w:rsid w:val="009878E2"/>
    <w:rsid w:val="009A1D67"/>
    <w:rsid w:val="009A357A"/>
    <w:rsid w:val="009A3757"/>
    <w:rsid w:val="009A6630"/>
    <w:rsid w:val="009A742D"/>
    <w:rsid w:val="009B0229"/>
    <w:rsid w:val="009B44C1"/>
    <w:rsid w:val="009B6FAC"/>
    <w:rsid w:val="009F68BB"/>
    <w:rsid w:val="00A0212E"/>
    <w:rsid w:val="00A03229"/>
    <w:rsid w:val="00A2180B"/>
    <w:rsid w:val="00A21909"/>
    <w:rsid w:val="00A26CFF"/>
    <w:rsid w:val="00A2762F"/>
    <w:rsid w:val="00A31AFC"/>
    <w:rsid w:val="00A35221"/>
    <w:rsid w:val="00A4006D"/>
    <w:rsid w:val="00A40B19"/>
    <w:rsid w:val="00A47085"/>
    <w:rsid w:val="00A54B82"/>
    <w:rsid w:val="00A54EDE"/>
    <w:rsid w:val="00A56894"/>
    <w:rsid w:val="00A6766C"/>
    <w:rsid w:val="00A707BC"/>
    <w:rsid w:val="00A82865"/>
    <w:rsid w:val="00A856A0"/>
    <w:rsid w:val="00A95F1C"/>
    <w:rsid w:val="00A963E3"/>
    <w:rsid w:val="00A96919"/>
    <w:rsid w:val="00AA5229"/>
    <w:rsid w:val="00AA64CD"/>
    <w:rsid w:val="00AA7946"/>
    <w:rsid w:val="00AB3C69"/>
    <w:rsid w:val="00AB50E9"/>
    <w:rsid w:val="00AC1164"/>
    <w:rsid w:val="00AC175C"/>
    <w:rsid w:val="00AD3679"/>
    <w:rsid w:val="00AD4464"/>
    <w:rsid w:val="00AE2916"/>
    <w:rsid w:val="00AE51FB"/>
    <w:rsid w:val="00AE72B4"/>
    <w:rsid w:val="00AF58B2"/>
    <w:rsid w:val="00B020F6"/>
    <w:rsid w:val="00B049F2"/>
    <w:rsid w:val="00B15FDD"/>
    <w:rsid w:val="00B21C8D"/>
    <w:rsid w:val="00B233DF"/>
    <w:rsid w:val="00B2530D"/>
    <w:rsid w:val="00B31524"/>
    <w:rsid w:val="00B474D0"/>
    <w:rsid w:val="00B47DF7"/>
    <w:rsid w:val="00B5094D"/>
    <w:rsid w:val="00B715B1"/>
    <w:rsid w:val="00B71940"/>
    <w:rsid w:val="00B741AA"/>
    <w:rsid w:val="00B828D5"/>
    <w:rsid w:val="00B844A1"/>
    <w:rsid w:val="00B845B1"/>
    <w:rsid w:val="00B8735C"/>
    <w:rsid w:val="00B96481"/>
    <w:rsid w:val="00BA2F4B"/>
    <w:rsid w:val="00BB1366"/>
    <w:rsid w:val="00BB217D"/>
    <w:rsid w:val="00BB3136"/>
    <w:rsid w:val="00BD1BFF"/>
    <w:rsid w:val="00BD4CBB"/>
    <w:rsid w:val="00BD5C55"/>
    <w:rsid w:val="00BD7BE5"/>
    <w:rsid w:val="00BE328A"/>
    <w:rsid w:val="00BE42FC"/>
    <w:rsid w:val="00BE699D"/>
    <w:rsid w:val="00BF1A84"/>
    <w:rsid w:val="00BF1D65"/>
    <w:rsid w:val="00BF34CC"/>
    <w:rsid w:val="00C12B30"/>
    <w:rsid w:val="00C12DD4"/>
    <w:rsid w:val="00C2493A"/>
    <w:rsid w:val="00C2505D"/>
    <w:rsid w:val="00C2595F"/>
    <w:rsid w:val="00C27CDF"/>
    <w:rsid w:val="00C32D2F"/>
    <w:rsid w:val="00C350B6"/>
    <w:rsid w:val="00C437CB"/>
    <w:rsid w:val="00C44D7F"/>
    <w:rsid w:val="00C44FE1"/>
    <w:rsid w:val="00C4500C"/>
    <w:rsid w:val="00C519A8"/>
    <w:rsid w:val="00C616AD"/>
    <w:rsid w:val="00C6791C"/>
    <w:rsid w:val="00C7350E"/>
    <w:rsid w:val="00C83527"/>
    <w:rsid w:val="00C8680D"/>
    <w:rsid w:val="00C875D8"/>
    <w:rsid w:val="00C877CD"/>
    <w:rsid w:val="00C9142B"/>
    <w:rsid w:val="00CA3D61"/>
    <w:rsid w:val="00CB3747"/>
    <w:rsid w:val="00CB5CDC"/>
    <w:rsid w:val="00CB65D6"/>
    <w:rsid w:val="00CC053E"/>
    <w:rsid w:val="00CD00C0"/>
    <w:rsid w:val="00CE42A2"/>
    <w:rsid w:val="00CE5620"/>
    <w:rsid w:val="00CE598C"/>
    <w:rsid w:val="00CE7BB1"/>
    <w:rsid w:val="00CF303F"/>
    <w:rsid w:val="00CF4D1D"/>
    <w:rsid w:val="00CF578B"/>
    <w:rsid w:val="00D03038"/>
    <w:rsid w:val="00D06A0C"/>
    <w:rsid w:val="00D11056"/>
    <w:rsid w:val="00D1615A"/>
    <w:rsid w:val="00D21D31"/>
    <w:rsid w:val="00D2333E"/>
    <w:rsid w:val="00D27445"/>
    <w:rsid w:val="00D2784F"/>
    <w:rsid w:val="00D278DA"/>
    <w:rsid w:val="00D27F47"/>
    <w:rsid w:val="00D30A13"/>
    <w:rsid w:val="00D30C5B"/>
    <w:rsid w:val="00D34EA3"/>
    <w:rsid w:val="00D367D9"/>
    <w:rsid w:val="00D40D87"/>
    <w:rsid w:val="00D4283E"/>
    <w:rsid w:val="00D46ABA"/>
    <w:rsid w:val="00D52DA9"/>
    <w:rsid w:val="00D534FF"/>
    <w:rsid w:val="00D64C2A"/>
    <w:rsid w:val="00D7627A"/>
    <w:rsid w:val="00D81087"/>
    <w:rsid w:val="00D85D60"/>
    <w:rsid w:val="00D8762A"/>
    <w:rsid w:val="00D90088"/>
    <w:rsid w:val="00DA0EF6"/>
    <w:rsid w:val="00DA381B"/>
    <w:rsid w:val="00DA3DAD"/>
    <w:rsid w:val="00DA5942"/>
    <w:rsid w:val="00DB05C3"/>
    <w:rsid w:val="00DB7B5A"/>
    <w:rsid w:val="00DD5C2D"/>
    <w:rsid w:val="00DD7657"/>
    <w:rsid w:val="00DE4A67"/>
    <w:rsid w:val="00DF42CD"/>
    <w:rsid w:val="00DF678F"/>
    <w:rsid w:val="00DF761C"/>
    <w:rsid w:val="00E054E0"/>
    <w:rsid w:val="00E1042F"/>
    <w:rsid w:val="00E14911"/>
    <w:rsid w:val="00E16B72"/>
    <w:rsid w:val="00E210F1"/>
    <w:rsid w:val="00E35FB9"/>
    <w:rsid w:val="00E377E4"/>
    <w:rsid w:val="00E44D1B"/>
    <w:rsid w:val="00E53049"/>
    <w:rsid w:val="00E5699D"/>
    <w:rsid w:val="00E56BE7"/>
    <w:rsid w:val="00E56DAA"/>
    <w:rsid w:val="00E605F1"/>
    <w:rsid w:val="00E61358"/>
    <w:rsid w:val="00E62EB6"/>
    <w:rsid w:val="00E6380E"/>
    <w:rsid w:val="00E718D0"/>
    <w:rsid w:val="00E74C1E"/>
    <w:rsid w:val="00E86B6C"/>
    <w:rsid w:val="00E93BF5"/>
    <w:rsid w:val="00E97BD0"/>
    <w:rsid w:val="00EA20EF"/>
    <w:rsid w:val="00EA7168"/>
    <w:rsid w:val="00EA7BF5"/>
    <w:rsid w:val="00EB0FE3"/>
    <w:rsid w:val="00EB2648"/>
    <w:rsid w:val="00EB28CC"/>
    <w:rsid w:val="00EB309E"/>
    <w:rsid w:val="00EB392D"/>
    <w:rsid w:val="00ED125E"/>
    <w:rsid w:val="00ED197C"/>
    <w:rsid w:val="00ED5CE1"/>
    <w:rsid w:val="00EE2758"/>
    <w:rsid w:val="00EE5ACA"/>
    <w:rsid w:val="00EE74EB"/>
    <w:rsid w:val="00EF5052"/>
    <w:rsid w:val="00EF6DDD"/>
    <w:rsid w:val="00F026C6"/>
    <w:rsid w:val="00F122F5"/>
    <w:rsid w:val="00F14DB5"/>
    <w:rsid w:val="00F155E1"/>
    <w:rsid w:val="00F36470"/>
    <w:rsid w:val="00F369C9"/>
    <w:rsid w:val="00F41AF1"/>
    <w:rsid w:val="00F421ED"/>
    <w:rsid w:val="00F42855"/>
    <w:rsid w:val="00F44D09"/>
    <w:rsid w:val="00F47800"/>
    <w:rsid w:val="00F57FD6"/>
    <w:rsid w:val="00F70012"/>
    <w:rsid w:val="00F7030B"/>
    <w:rsid w:val="00F759CA"/>
    <w:rsid w:val="00F80278"/>
    <w:rsid w:val="00F813F8"/>
    <w:rsid w:val="00F81AF6"/>
    <w:rsid w:val="00F85B0C"/>
    <w:rsid w:val="00F86389"/>
    <w:rsid w:val="00F9155F"/>
    <w:rsid w:val="00F92573"/>
    <w:rsid w:val="00F92B0E"/>
    <w:rsid w:val="00F955A4"/>
    <w:rsid w:val="00FB0312"/>
    <w:rsid w:val="00FB480E"/>
    <w:rsid w:val="00FB49D8"/>
    <w:rsid w:val="00FB62BB"/>
    <w:rsid w:val="00FB6BE3"/>
    <w:rsid w:val="00FB76A8"/>
    <w:rsid w:val="00FC0CF4"/>
    <w:rsid w:val="00FC49A5"/>
    <w:rsid w:val="00FD60CF"/>
    <w:rsid w:val="00FE4DB1"/>
    <w:rsid w:val="00FF0C5C"/>
    <w:rsid w:val="00FF0EB8"/>
    <w:rsid w:val="00FF2487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BDAB48"/>
  <w15:chartTrackingRefBased/>
  <w15:docId w15:val="{05010334-7BDA-44C5-9AB4-08AA37F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D49"/>
  </w:style>
  <w:style w:type="paragraph" w:styleId="Ttulo1">
    <w:name w:val="heading 1"/>
    <w:basedOn w:val="Normal"/>
    <w:next w:val="Normal"/>
    <w:qFormat/>
    <w:rsid w:val="00563D49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563D49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63D49"/>
    <w:rPr>
      <w:sz w:val="24"/>
    </w:rPr>
  </w:style>
  <w:style w:type="paragraph" w:styleId="Corpodetexto2">
    <w:name w:val="Body Text 2"/>
    <w:basedOn w:val="Normal"/>
    <w:rsid w:val="00563D49"/>
    <w:rPr>
      <w:sz w:val="22"/>
    </w:rPr>
  </w:style>
  <w:style w:type="paragraph" w:styleId="Textodenotaderodap">
    <w:name w:val="footnote text"/>
    <w:basedOn w:val="Normal"/>
    <w:semiHidden/>
    <w:rsid w:val="00563D49"/>
  </w:style>
  <w:style w:type="character" w:styleId="Refdenotaderodap">
    <w:name w:val="footnote reference"/>
    <w:semiHidden/>
    <w:rsid w:val="00563D49"/>
    <w:rPr>
      <w:vertAlign w:val="superscript"/>
    </w:rPr>
  </w:style>
  <w:style w:type="paragraph" w:styleId="Cabealho">
    <w:name w:val="header"/>
    <w:basedOn w:val="Normal"/>
    <w:rsid w:val="00563D4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3D4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563D49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9020E0"/>
    <w:pPr>
      <w:suppressAutoHyphens/>
    </w:pPr>
    <w:rPr>
      <w:rFonts w:eastAsia="SimSun"/>
      <w:b/>
      <w:bCs/>
      <w:lang w:val="en-US" w:eastAsia="ar-SA"/>
    </w:rPr>
  </w:style>
  <w:style w:type="paragraph" w:customStyle="1" w:styleId="Default">
    <w:name w:val="Default"/>
    <w:rsid w:val="009B44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44C1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86F32"/>
    <w:pPr>
      <w:jc w:val="center"/>
    </w:pPr>
    <w:rPr>
      <w:b/>
      <w:bCs/>
      <w:sz w:val="24"/>
      <w:szCs w:val="24"/>
      <w:u w:val="single"/>
      <w:lang w:val="x-none" w:eastAsia="en-US"/>
    </w:rPr>
  </w:style>
  <w:style w:type="character" w:customStyle="1" w:styleId="TtuloChar">
    <w:name w:val="Título Char"/>
    <w:link w:val="Ttulo"/>
    <w:rsid w:val="00686F32"/>
    <w:rPr>
      <w:b/>
      <w:bCs/>
      <w:sz w:val="24"/>
      <w:szCs w:val="24"/>
      <w:u w:val="single"/>
      <w:lang w:eastAsia="en-US"/>
    </w:rPr>
  </w:style>
  <w:style w:type="paragraph" w:customStyle="1" w:styleId="Text">
    <w:name w:val="Text"/>
    <w:basedOn w:val="Normal"/>
    <w:rsid w:val="00FB49D8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character" w:customStyle="1" w:styleId="A1">
    <w:name w:val="A1"/>
    <w:uiPriority w:val="99"/>
    <w:rsid w:val="00FB49D8"/>
    <w:rPr>
      <w:color w:val="000000"/>
      <w:sz w:val="20"/>
      <w:szCs w:val="20"/>
    </w:rPr>
  </w:style>
  <w:style w:type="character" w:customStyle="1" w:styleId="A2">
    <w:name w:val="A2"/>
    <w:uiPriority w:val="99"/>
    <w:rsid w:val="00FB49D8"/>
    <w:rPr>
      <w:color w:val="000000"/>
      <w:sz w:val="11"/>
      <w:szCs w:val="11"/>
    </w:rPr>
  </w:style>
  <w:style w:type="paragraph" w:styleId="TextosemFormatao">
    <w:name w:val="Plain Text"/>
    <w:basedOn w:val="Normal"/>
    <w:link w:val="TextosemFormataoChar"/>
    <w:unhideWhenUsed/>
    <w:rsid w:val="004822E1"/>
    <w:pPr>
      <w:spacing w:beforeAutospacing="1" w:afterAutospacing="1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rsid w:val="004822E1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C350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350B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4774F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774F8"/>
  </w:style>
  <w:style w:type="character" w:customStyle="1" w:styleId="TextodecomentrioChar">
    <w:name w:val="Texto de comentário Char"/>
    <w:basedOn w:val="Fontepargpadro"/>
    <w:link w:val="Textodecomentrio"/>
    <w:rsid w:val="004774F8"/>
  </w:style>
  <w:style w:type="paragraph" w:styleId="Assuntodocomentrio">
    <w:name w:val="annotation subject"/>
    <w:basedOn w:val="Textodecomentrio"/>
    <w:next w:val="Textodecomentrio"/>
    <w:link w:val="AssuntodocomentrioChar"/>
    <w:rsid w:val="004774F8"/>
    <w:rPr>
      <w:b/>
      <w:bCs/>
    </w:rPr>
  </w:style>
  <w:style w:type="character" w:customStyle="1" w:styleId="AssuntodocomentrioChar">
    <w:name w:val="Assunto do comentário Char"/>
    <w:link w:val="Assuntodocomentrio"/>
    <w:rsid w:val="004774F8"/>
    <w:rPr>
      <w:b/>
      <w:bCs/>
    </w:rPr>
  </w:style>
  <w:style w:type="paragraph" w:customStyle="1" w:styleId="p11">
    <w:name w:val="p11"/>
    <w:basedOn w:val="Normal"/>
    <w:rsid w:val="00E93BF5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Reviso">
    <w:name w:val="Revision"/>
    <w:hidden/>
    <w:uiPriority w:val="99"/>
    <w:semiHidden/>
    <w:rsid w:val="00F70012"/>
  </w:style>
  <w:style w:type="character" w:styleId="TextodoEspaoReservado">
    <w:name w:val="Placeholder Text"/>
    <w:basedOn w:val="Fontepargpadro"/>
    <w:uiPriority w:val="99"/>
    <w:semiHidden/>
    <w:rsid w:val="00F36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971289919728295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FECC-0F89-4B7D-9602-EE3E7AC0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2647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Links>
    <vt:vector size="6" baseType="variant">
      <vt:variant>
        <vt:i4>2293797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http://lattes.cnpq.br/9712899197282952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ROLDAO LIMA JUNIOR</dc:creator>
  <cp:keywords/>
  <cp:lastModifiedBy>paulo megna</cp:lastModifiedBy>
  <cp:revision>12</cp:revision>
  <dcterms:created xsi:type="dcterms:W3CDTF">2023-05-27T12:00:00Z</dcterms:created>
  <dcterms:modified xsi:type="dcterms:W3CDTF">2023-05-27T12:46:00Z</dcterms:modified>
</cp:coreProperties>
</file>