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749F" w14:textId="77777777" w:rsidR="00DB3276" w:rsidRPr="00CA6E56" w:rsidRDefault="00CC0BF6" w:rsidP="00DB3276">
      <w:pPr>
        <w:jc w:val="center"/>
        <w:rPr>
          <w:b/>
          <w:sz w:val="24"/>
          <w:szCs w:val="24"/>
        </w:rPr>
      </w:pPr>
      <w:r>
        <w:rPr>
          <w:b/>
          <w:sz w:val="24"/>
          <w:szCs w:val="24"/>
        </w:rPr>
        <w:t xml:space="preserve">AVALIAÇÃO DE CLONES DE </w:t>
      </w:r>
      <w:r w:rsidR="00DB3276" w:rsidRPr="00CA6E56">
        <w:rPr>
          <w:b/>
          <w:sz w:val="24"/>
          <w:szCs w:val="24"/>
        </w:rPr>
        <w:t>CAJAZEIRA</w:t>
      </w:r>
      <w:r>
        <w:rPr>
          <w:b/>
          <w:sz w:val="24"/>
          <w:szCs w:val="24"/>
        </w:rPr>
        <w:t xml:space="preserve"> NO MUNICÍPIO DE ÁGUA BRANCA</w:t>
      </w:r>
      <w:r w:rsidR="00DB3276" w:rsidRPr="00CA6E56">
        <w:rPr>
          <w:b/>
          <w:sz w:val="24"/>
          <w:szCs w:val="24"/>
        </w:rPr>
        <w:t>, PIAUÍ</w:t>
      </w:r>
    </w:p>
    <w:p w14:paraId="165AC65D"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rPr>
      </w:pPr>
    </w:p>
    <w:p w14:paraId="3378A604" w14:textId="73FABB96" w:rsidR="00DB3276" w:rsidRDefault="005C511B" w:rsidP="00DB3276">
      <w:pPr>
        <w:ind w:right="-1"/>
        <w:jc w:val="both"/>
      </w:pPr>
      <w:r>
        <w:t>LÚ</w:t>
      </w:r>
      <w:r w:rsidRPr="00CA6E56">
        <w:t>CIO FLAVO LOPES VASCONCELOS</w:t>
      </w:r>
      <w:r>
        <w:rPr>
          <w:vertAlign w:val="superscript"/>
        </w:rPr>
        <w:t>1</w:t>
      </w:r>
      <w:r>
        <w:t>, EUGÊ</w:t>
      </w:r>
      <w:r w:rsidRPr="00CA6E56">
        <w:t>NIO CELSO EMÉRITO ARAÚJO</w:t>
      </w:r>
      <w:r>
        <w:rPr>
          <w:vertAlign w:val="superscript"/>
        </w:rPr>
        <w:t>2</w:t>
      </w:r>
      <w:r>
        <w:t>,</w:t>
      </w:r>
      <w:r w:rsidRPr="00CA6E56">
        <w:t xml:space="preserve"> </w:t>
      </w:r>
      <w:r w:rsidR="00040B3A">
        <w:t>JÚLIO CÉSAR LOPES DA COSTA</w:t>
      </w:r>
      <w:r>
        <w:rPr>
          <w:vertAlign w:val="superscript"/>
        </w:rPr>
        <w:t>3</w:t>
      </w:r>
      <w:r>
        <w:t>,</w:t>
      </w:r>
      <w:r w:rsidRPr="00CA6E56">
        <w:t xml:space="preserve"> MELISSA ODA SOUZA</w:t>
      </w:r>
      <w:r w:rsidRPr="00DB3276">
        <w:rPr>
          <w:vertAlign w:val="superscript"/>
        </w:rPr>
        <w:t>4</w:t>
      </w:r>
      <w:r>
        <w:t>,</w:t>
      </w:r>
      <w:r w:rsidRPr="00CA6E56">
        <w:t xml:space="preserve"> </w:t>
      </w:r>
      <w:r w:rsidR="00040B3A">
        <w:t>CARLOS CÉSAR PEREIRA NOGUEIR</w:t>
      </w:r>
      <w:r w:rsidR="00040B3A" w:rsidRPr="00CA6E56">
        <w:t>A</w:t>
      </w:r>
      <w:r>
        <w:rPr>
          <w:vertAlign w:val="superscript"/>
        </w:rPr>
        <w:t>5</w:t>
      </w:r>
      <w:r w:rsidR="00DB3276" w:rsidRPr="00CA6E56">
        <w:t xml:space="preserve"> </w:t>
      </w:r>
    </w:p>
    <w:p w14:paraId="3685C530" w14:textId="77777777" w:rsidR="00367E45" w:rsidRPr="00446D3A" w:rsidRDefault="00367E45" w:rsidP="00380272">
      <w:pPr>
        <w:ind w:right="-518"/>
        <w:jc w:val="center"/>
      </w:pPr>
    </w:p>
    <w:p w14:paraId="44EAA531" w14:textId="77777777" w:rsidR="00DB3276" w:rsidRPr="00446D3A" w:rsidRDefault="00DB3276" w:rsidP="005C511B">
      <w:pPr>
        <w:rPr>
          <w:rStyle w:val="Hyperlink"/>
          <w:color w:val="auto"/>
          <w:u w:val="none"/>
        </w:rPr>
      </w:pPr>
      <w:r w:rsidRPr="00446D3A">
        <w:rPr>
          <w:vertAlign w:val="superscript"/>
        </w:rPr>
        <w:t>1</w:t>
      </w:r>
      <w:r w:rsidRPr="00446D3A">
        <w:t xml:space="preserve">Dr. Pesquisador </w:t>
      </w:r>
      <w:r>
        <w:t xml:space="preserve">da Embrapa Meio-Norte, Teresina, PI, </w:t>
      </w:r>
      <w:r w:rsidR="005C511B">
        <w:t xml:space="preserve">lucio.vasconcelos@embrapa.br; </w:t>
      </w:r>
    </w:p>
    <w:p w14:paraId="78D03212" w14:textId="77777777" w:rsidR="00DB3276" w:rsidRPr="00446D3A" w:rsidRDefault="00DB3276" w:rsidP="00DB3276">
      <w:pPr>
        <w:jc w:val="both"/>
        <w:rPr>
          <w:szCs w:val="22"/>
        </w:rPr>
      </w:pPr>
      <w:r w:rsidRPr="00446D3A">
        <w:rPr>
          <w:szCs w:val="22"/>
          <w:vertAlign w:val="superscript"/>
        </w:rPr>
        <w:t>2</w:t>
      </w:r>
      <w:r>
        <w:rPr>
          <w:szCs w:val="22"/>
        </w:rPr>
        <w:t>Dr.</w:t>
      </w:r>
      <w:r w:rsidRPr="00412C48">
        <w:t xml:space="preserve"> </w:t>
      </w:r>
      <w:r w:rsidRPr="00446D3A">
        <w:t xml:space="preserve">Pesquisador </w:t>
      </w:r>
      <w:r>
        <w:t xml:space="preserve">da Embrapa Meio-Norte, Teresina, PI, </w:t>
      </w:r>
      <w:r w:rsidR="005C511B">
        <w:t>eugenio.emerito@embrapa.br;</w:t>
      </w:r>
    </w:p>
    <w:p w14:paraId="661DE49B" w14:textId="028AACBA" w:rsidR="00DB3276" w:rsidRPr="00446D3A" w:rsidRDefault="00DB3276" w:rsidP="00DB3276">
      <w:pPr>
        <w:jc w:val="both"/>
      </w:pPr>
      <w:r>
        <w:rPr>
          <w:vertAlign w:val="superscript"/>
        </w:rPr>
        <w:t>3</w:t>
      </w:r>
      <w:r w:rsidR="00040B3A">
        <w:t xml:space="preserve">B.Sc. </w:t>
      </w:r>
      <w:r w:rsidR="002C4F7C">
        <w:t xml:space="preserve">Júlio César Lopes da </w:t>
      </w:r>
      <w:proofErr w:type="gramStart"/>
      <w:r w:rsidR="002C4F7C">
        <w:t xml:space="preserve">Costa </w:t>
      </w:r>
      <w:r w:rsidR="00040B3A">
        <w:t xml:space="preserve"> Teresina</w:t>
      </w:r>
      <w:proofErr w:type="gramEnd"/>
      <w:r w:rsidR="00040B3A">
        <w:t>, PI, jcesarcosta@gmail.com</w:t>
      </w:r>
      <w:r w:rsidR="00CC0BF6">
        <w:t>;</w:t>
      </w:r>
    </w:p>
    <w:p w14:paraId="23D8091E" w14:textId="77777777" w:rsidR="00DB3276" w:rsidRDefault="00DB3276" w:rsidP="00DB3276">
      <w:pPr>
        <w:jc w:val="both"/>
        <w:rPr>
          <w:szCs w:val="24"/>
        </w:rPr>
      </w:pPr>
      <w:r w:rsidRPr="00446D3A">
        <w:rPr>
          <w:szCs w:val="22"/>
          <w:vertAlign w:val="superscript"/>
        </w:rPr>
        <w:t>4</w:t>
      </w:r>
      <w:r w:rsidRPr="00446D3A">
        <w:rPr>
          <w:szCs w:val="22"/>
        </w:rPr>
        <w:t xml:space="preserve">Dr. </w:t>
      </w:r>
      <w:r w:rsidRPr="00446D3A">
        <w:t>P</w:t>
      </w:r>
      <w:r>
        <w:t>rofessora da UESPI, Teresina, PI, melissa</w:t>
      </w:r>
      <w:r w:rsidR="00CC22AA">
        <w:t>souza</w:t>
      </w:r>
      <w:r>
        <w:t>@</w:t>
      </w:r>
      <w:r w:rsidR="00CC22AA">
        <w:t>cca.uespi</w:t>
      </w:r>
      <w:r>
        <w:t>.</w:t>
      </w:r>
      <w:r w:rsidR="00CC22AA">
        <w:t>br</w:t>
      </w:r>
      <w:r>
        <w:t>;</w:t>
      </w:r>
    </w:p>
    <w:p w14:paraId="31E29293" w14:textId="77777777" w:rsidR="00DB3276" w:rsidRDefault="00DB3276" w:rsidP="00DB3276">
      <w:pPr>
        <w:jc w:val="both"/>
      </w:pPr>
      <w:r>
        <w:rPr>
          <w:szCs w:val="22"/>
          <w:vertAlign w:val="superscript"/>
        </w:rPr>
        <w:t>5</w:t>
      </w:r>
      <w:r w:rsidRPr="00446D3A">
        <w:rPr>
          <w:szCs w:val="22"/>
        </w:rPr>
        <w:t xml:space="preserve">Dr. </w:t>
      </w:r>
      <w:r w:rsidRPr="00446D3A">
        <w:t xml:space="preserve">Pesquisador </w:t>
      </w:r>
      <w:r>
        <w:t>da Embrapa Meio-Norte, Teresina, PI</w:t>
      </w:r>
      <w:r w:rsidR="00040B3A">
        <w:t>, carlos.nogueira@embrapa.br</w:t>
      </w:r>
      <w:r w:rsidR="00E4620E">
        <w:t>.</w:t>
      </w:r>
    </w:p>
    <w:p w14:paraId="5C1DE09A" w14:textId="77777777" w:rsidR="00CC0BF6" w:rsidRDefault="00CC0BF6" w:rsidP="00DB3276">
      <w:pPr>
        <w:jc w:val="both"/>
        <w:rPr>
          <w:vertAlign w:val="superscript"/>
        </w:rPr>
      </w:pPr>
    </w:p>
    <w:p w14:paraId="013E4D90" w14:textId="77777777" w:rsidR="00E56BE7" w:rsidRPr="00E56BE7" w:rsidRDefault="00E56BE7" w:rsidP="00E56BE7">
      <w:pPr>
        <w:jc w:val="center"/>
        <w:rPr>
          <w:szCs w:val="22"/>
        </w:rPr>
      </w:pPr>
    </w:p>
    <w:p w14:paraId="4E324A14" w14:textId="77777777" w:rsidR="00E74C1E" w:rsidRPr="00446D3A" w:rsidRDefault="00E74C1E" w:rsidP="00380272">
      <w:pPr>
        <w:jc w:val="center"/>
        <w:rPr>
          <w:sz w:val="22"/>
          <w:szCs w:val="22"/>
        </w:rPr>
      </w:pPr>
      <w:r w:rsidRPr="00446D3A">
        <w:rPr>
          <w:sz w:val="22"/>
          <w:szCs w:val="22"/>
        </w:rPr>
        <w:t xml:space="preserve">Apresentado no            </w:t>
      </w:r>
    </w:p>
    <w:p w14:paraId="7A50C704"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07EFE363" w14:textId="77777777" w:rsidR="00D06A0C" w:rsidRPr="003C57AE" w:rsidRDefault="003C57AE" w:rsidP="00380272">
      <w:pPr>
        <w:jc w:val="center"/>
        <w:rPr>
          <w:sz w:val="22"/>
          <w:szCs w:val="22"/>
        </w:rPr>
      </w:pPr>
      <w:r w:rsidRPr="003C57AE">
        <w:rPr>
          <w:sz w:val="22"/>
          <w:szCs w:val="22"/>
        </w:rPr>
        <w:t>08 a 11 de agosto de 2023</w:t>
      </w:r>
    </w:p>
    <w:p w14:paraId="18F2F50E" w14:textId="77777777" w:rsidR="00E74C1E" w:rsidRPr="00446D3A" w:rsidRDefault="00E74C1E" w:rsidP="00380272">
      <w:pPr>
        <w:jc w:val="center"/>
        <w:rPr>
          <w:szCs w:val="22"/>
        </w:rPr>
      </w:pPr>
    </w:p>
    <w:p w14:paraId="3BAFD461" w14:textId="00D55BE4" w:rsidR="00326F14" w:rsidRDefault="00E74C1E" w:rsidP="00157386">
      <w:pPr>
        <w:tabs>
          <w:tab w:val="left" w:pos="0"/>
        </w:tabs>
        <w:autoSpaceDE w:val="0"/>
        <w:autoSpaceDN w:val="0"/>
        <w:adjustRightInd w:val="0"/>
        <w:jc w:val="both"/>
        <w:rPr>
          <w:sz w:val="22"/>
          <w:szCs w:val="22"/>
        </w:rPr>
      </w:pPr>
      <w:r w:rsidRPr="00446D3A">
        <w:rPr>
          <w:b/>
          <w:sz w:val="22"/>
          <w:szCs w:val="22"/>
        </w:rPr>
        <w:t>RESUMO</w:t>
      </w:r>
      <w:r w:rsidRPr="00446D3A">
        <w:rPr>
          <w:sz w:val="22"/>
          <w:szCs w:val="22"/>
        </w:rPr>
        <w:t xml:space="preserve">: </w:t>
      </w:r>
      <w:r w:rsidR="00BF1A84" w:rsidRPr="00BF1A84">
        <w:rPr>
          <w:sz w:val="22"/>
          <w:szCs w:val="22"/>
        </w:rPr>
        <w:t xml:space="preserve">Este trabalho </w:t>
      </w:r>
      <w:r w:rsidR="00FE5A0D" w:rsidRPr="004C0794">
        <w:rPr>
          <w:sz w:val="22"/>
          <w:szCs w:val="22"/>
        </w:rPr>
        <w:t>objetivo</w:t>
      </w:r>
      <w:r w:rsidR="00CD09D0">
        <w:rPr>
          <w:sz w:val="22"/>
          <w:szCs w:val="22"/>
        </w:rPr>
        <w:t>u</w:t>
      </w:r>
      <w:r w:rsidR="00FE5A0D" w:rsidRPr="004C0794">
        <w:rPr>
          <w:sz w:val="22"/>
          <w:szCs w:val="22"/>
        </w:rPr>
        <w:t xml:space="preserve"> avaliar o </w:t>
      </w:r>
      <w:r w:rsidR="00CD09D0">
        <w:rPr>
          <w:sz w:val="22"/>
          <w:szCs w:val="22"/>
        </w:rPr>
        <w:t>desempenho produtivo de quatro clones</w:t>
      </w:r>
      <w:r w:rsidR="00FE5A0D" w:rsidRPr="004C0794">
        <w:rPr>
          <w:sz w:val="22"/>
          <w:szCs w:val="22"/>
        </w:rPr>
        <w:t xml:space="preserve"> da cajazeira</w:t>
      </w:r>
      <w:r w:rsidR="00CD09D0">
        <w:rPr>
          <w:sz w:val="22"/>
          <w:szCs w:val="22"/>
        </w:rPr>
        <w:t xml:space="preserve"> conduzidas sob condições de sequeiro no município de Água Branca, Piauí. As </w:t>
      </w:r>
      <w:r w:rsidR="000143D7">
        <w:rPr>
          <w:sz w:val="22"/>
          <w:szCs w:val="22"/>
        </w:rPr>
        <w:t>avaliações foram realizadas durante os anos de 2021 e 2022.</w:t>
      </w:r>
      <w:r w:rsidR="00CD09D0">
        <w:rPr>
          <w:sz w:val="22"/>
          <w:szCs w:val="22"/>
        </w:rPr>
        <w:t xml:space="preserve"> </w:t>
      </w:r>
      <w:r w:rsidR="00A237AE" w:rsidRPr="00195A3E">
        <w:rPr>
          <w:sz w:val="22"/>
          <w:szCs w:val="22"/>
        </w:rPr>
        <w:t xml:space="preserve">O delineamento estatístico utilizado foi </w:t>
      </w:r>
      <w:r w:rsidR="000143D7">
        <w:rPr>
          <w:sz w:val="22"/>
          <w:szCs w:val="22"/>
        </w:rPr>
        <w:t>o de</w:t>
      </w:r>
      <w:r w:rsidR="00A237AE" w:rsidRPr="00195A3E">
        <w:rPr>
          <w:sz w:val="22"/>
          <w:szCs w:val="22"/>
        </w:rPr>
        <w:t xml:space="preserve"> blocos ao acaso, </w:t>
      </w:r>
      <w:r w:rsidR="000143D7">
        <w:rPr>
          <w:sz w:val="22"/>
          <w:szCs w:val="22"/>
        </w:rPr>
        <w:t>com</w:t>
      </w:r>
      <w:r w:rsidR="00A237AE" w:rsidRPr="00195A3E">
        <w:rPr>
          <w:sz w:val="22"/>
          <w:szCs w:val="22"/>
        </w:rPr>
        <w:t xml:space="preserve"> quatro repetições</w:t>
      </w:r>
      <w:r w:rsidR="000143D7">
        <w:rPr>
          <w:sz w:val="22"/>
          <w:szCs w:val="22"/>
        </w:rPr>
        <w:t xml:space="preserve"> e quatro plantas úteis por parcela.</w:t>
      </w:r>
      <w:r w:rsidR="00BB35CC">
        <w:rPr>
          <w:sz w:val="22"/>
          <w:szCs w:val="22"/>
        </w:rPr>
        <w:t xml:space="preserve"> </w:t>
      </w:r>
      <w:r w:rsidR="000143D7" w:rsidRPr="00B45539">
        <w:rPr>
          <w:sz w:val="22"/>
          <w:szCs w:val="22"/>
        </w:rPr>
        <w:t>Os tratamentos consistiram d</w:t>
      </w:r>
      <w:r w:rsidR="000143D7">
        <w:rPr>
          <w:sz w:val="22"/>
          <w:szCs w:val="22"/>
        </w:rPr>
        <w:t>os</w:t>
      </w:r>
      <w:r w:rsidR="000143D7" w:rsidRPr="00B45539">
        <w:rPr>
          <w:sz w:val="22"/>
          <w:szCs w:val="22"/>
        </w:rPr>
        <w:t xml:space="preserve"> clones AGB1, AGB2</w:t>
      </w:r>
      <w:r w:rsidR="000143D7">
        <w:rPr>
          <w:sz w:val="22"/>
          <w:szCs w:val="22"/>
        </w:rPr>
        <w:t>,</w:t>
      </w:r>
      <w:r w:rsidR="000143D7" w:rsidRPr="00B45539">
        <w:rPr>
          <w:sz w:val="22"/>
          <w:szCs w:val="22"/>
        </w:rPr>
        <w:t xml:space="preserve"> AGB10 e </w:t>
      </w:r>
      <w:r w:rsidR="000143D7">
        <w:rPr>
          <w:sz w:val="22"/>
          <w:szCs w:val="22"/>
        </w:rPr>
        <w:t xml:space="preserve">ZLU. </w:t>
      </w:r>
      <w:r w:rsidR="000143D7" w:rsidRPr="000B27CE">
        <w:rPr>
          <w:sz w:val="22"/>
          <w:szCs w:val="22"/>
        </w:rPr>
        <w:t>O plantio das mudas foi realizado no espaçamento de 10 x 10 m, em disposição triangular</w:t>
      </w:r>
      <w:r w:rsidR="000143D7">
        <w:rPr>
          <w:sz w:val="22"/>
          <w:szCs w:val="22"/>
        </w:rPr>
        <w:t>.</w:t>
      </w:r>
      <w:r w:rsidR="00326F14">
        <w:rPr>
          <w:sz w:val="22"/>
          <w:szCs w:val="22"/>
        </w:rPr>
        <w:t xml:space="preserve"> Em 2021, a produtividade variou de 6,20 t</w:t>
      </w:r>
      <w:r w:rsidR="002C4F7C">
        <w:rPr>
          <w:sz w:val="22"/>
          <w:szCs w:val="22"/>
        </w:rPr>
        <w:t>h</w:t>
      </w:r>
      <w:r w:rsidR="008C33CD">
        <w:rPr>
          <w:sz w:val="22"/>
          <w:szCs w:val="22"/>
        </w:rPr>
        <w:t>a</w:t>
      </w:r>
      <w:r w:rsidR="002C4F7C" w:rsidRPr="009D3E17">
        <w:rPr>
          <w:sz w:val="22"/>
          <w:szCs w:val="22"/>
          <w:vertAlign w:val="superscript"/>
        </w:rPr>
        <w:t>-1</w:t>
      </w:r>
      <w:r w:rsidR="00326F14">
        <w:rPr>
          <w:sz w:val="22"/>
          <w:szCs w:val="22"/>
        </w:rPr>
        <w:t xml:space="preserve"> a 10,99 t</w:t>
      </w:r>
      <w:r w:rsidR="002C4F7C">
        <w:rPr>
          <w:sz w:val="22"/>
          <w:szCs w:val="22"/>
        </w:rPr>
        <w:t>h</w:t>
      </w:r>
      <w:r w:rsidR="008C33CD">
        <w:rPr>
          <w:sz w:val="22"/>
          <w:szCs w:val="22"/>
        </w:rPr>
        <w:t>a</w:t>
      </w:r>
      <w:r w:rsidR="002C4F7C" w:rsidRPr="009D3E17">
        <w:rPr>
          <w:sz w:val="22"/>
          <w:szCs w:val="22"/>
          <w:vertAlign w:val="superscript"/>
        </w:rPr>
        <w:t>-1</w:t>
      </w:r>
      <w:r w:rsidR="00326F14">
        <w:rPr>
          <w:sz w:val="22"/>
          <w:szCs w:val="22"/>
        </w:rPr>
        <w:t>, para os clones AGB1 e ZLU, respectivamente, porém não houve diferenças significativas entre os clones avaliados.</w:t>
      </w:r>
      <w:r w:rsidR="009F7F8A">
        <w:rPr>
          <w:sz w:val="22"/>
          <w:szCs w:val="22"/>
        </w:rPr>
        <w:t xml:space="preserve"> Em 2022, os clones AGB</w:t>
      </w:r>
      <w:r w:rsidR="000256A4">
        <w:rPr>
          <w:sz w:val="22"/>
          <w:szCs w:val="22"/>
        </w:rPr>
        <w:t>2</w:t>
      </w:r>
      <w:r w:rsidR="009F7F8A">
        <w:rPr>
          <w:sz w:val="22"/>
          <w:szCs w:val="22"/>
        </w:rPr>
        <w:t>, ZLU e AGB</w:t>
      </w:r>
      <w:r w:rsidR="000256A4">
        <w:rPr>
          <w:sz w:val="22"/>
          <w:szCs w:val="22"/>
        </w:rPr>
        <w:t>10</w:t>
      </w:r>
      <w:r w:rsidR="009F7F8A">
        <w:rPr>
          <w:sz w:val="22"/>
          <w:szCs w:val="22"/>
        </w:rPr>
        <w:t xml:space="preserve"> apresentaram reduções de produtividade de </w:t>
      </w:r>
      <w:r w:rsidR="00AF44BF">
        <w:rPr>
          <w:sz w:val="22"/>
          <w:szCs w:val="22"/>
        </w:rPr>
        <w:t>48,04</w:t>
      </w:r>
      <w:r w:rsidR="009F7F8A">
        <w:rPr>
          <w:sz w:val="22"/>
          <w:szCs w:val="22"/>
        </w:rPr>
        <w:t xml:space="preserve">%, 65,24% e </w:t>
      </w:r>
      <w:r w:rsidR="00AF44BF">
        <w:rPr>
          <w:sz w:val="22"/>
          <w:szCs w:val="22"/>
        </w:rPr>
        <w:t>88,97</w:t>
      </w:r>
      <w:r w:rsidR="009F7F8A">
        <w:rPr>
          <w:sz w:val="22"/>
          <w:szCs w:val="22"/>
        </w:rPr>
        <w:t xml:space="preserve">%, respectivamente, denotando uma acentuada alternância de produção. </w:t>
      </w:r>
      <w:r w:rsidR="00A45400">
        <w:rPr>
          <w:sz w:val="22"/>
          <w:szCs w:val="22"/>
        </w:rPr>
        <w:t>Os clones AGB1 e AGB2 foram os mais promissores quanto à porcentagem de polpa, com valores acima de 43%.</w:t>
      </w:r>
    </w:p>
    <w:p w14:paraId="63737337" w14:textId="77777777"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2763AA" w:rsidRPr="005C511B">
        <w:rPr>
          <w:i/>
          <w:iCs/>
          <w:sz w:val="22"/>
          <w:szCs w:val="22"/>
        </w:rPr>
        <w:t>Spondias mombin</w:t>
      </w:r>
      <w:r w:rsidR="002763AA" w:rsidRPr="005C511B">
        <w:rPr>
          <w:sz w:val="22"/>
          <w:szCs w:val="22"/>
        </w:rPr>
        <w:t xml:space="preserve"> L.</w:t>
      </w:r>
      <w:r w:rsidR="006A044B" w:rsidRPr="006A044B">
        <w:rPr>
          <w:sz w:val="22"/>
          <w:szCs w:val="22"/>
        </w:rPr>
        <w:t xml:space="preserve">, </w:t>
      </w:r>
      <w:r w:rsidR="00CD09D0">
        <w:rPr>
          <w:sz w:val="22"/>
          <w:szCs w:val="22"/>
        </w:rPr>
        <w:t>Fruteiras nativas,</w:t>
      </w:r>
      <w:r w:rsidR="00D34024">
        <w:rPr>
          <w:sz w:val="22"/>
          <w:szCs w:val="22"/>
        </w:rPr>
        <w:t xml:space="preserve"> </w:t>
      </w:r>
      <w:r w:rsidR="00CD09D0">
        <w:rPr>
          <w:sz w:val="22"/>
          <w:szCs w:val="22"/>
        </w:rPr>
        <w:t>Taperebá</w:t>
      </w:r>
    </w:p>
    <w:p w14:paraId="5F17E6FC" w14:textId="77777777" w:rsidR="00E74C1E" w:rsidRPr="00446D3A" w:rsidRDefault="00E74C1E" w:rsidP="00380272">
      <w:pPr>
        <w:jc w:val="center"/>
        <w:rPr>
          <w:szCs w:val="22"/>
        </w:rPr>
      </w:pPr>
    </w:p>
    <w:p w14:paraId="330541DE" w14:textId="77777777" w:rsidR="00E1644E" w:rsidRPr="00E1644E" w:rsidRDefault="00A45400" w:rsidP="00E1644E">
      <w:pPr>
        <w:adjustRightInd w:val="0"/>
        <w:jc w:val="center"/>
        <w:rPr>
          <w:b/>
          <w:sz w:val="22"/>
          <w:szCs w:val="22"/>
          <w:lang w:val="en-US"/>
        </w:rPr>
      </w:pPr>
      <w:r w:rsidRPr="00583B44">
        <w:rPr>
          <w:b/>
          <w:color w:val="202124"/>
          <w:sz w:val="22"/>
          <w:szCs w:val="22"/>
          <w:lang w:val="en-US"/>
        </w:rPr>
        <w:t xml:space="preserve">EVALUATION OF </w:t>
      </w:r>
      <w:r w:rsidR="00583B44" w:rsidRPr="00583B44">
        <w:rPr>
          <w:b/>
          <w:color w:val="202124"/>
          <w:sz w:val="22"/>
          <w:szCs w:val="22"/>
          <w:lang w:val="en-US"/>
        </w:rPr>
        <w:t>Y</w:t>
      </w:r>
      <w:r w:rsidR="00583B44">
        <w:rPr>
          <w:b/>
          <w:color w:val="202124"/>
          <w:sz w:val="22"/>
          <w:szCs w:val="22"/>
          <w:lang w:val="en-US"/>
        </w:rPr>
        <w:t>ELLOW MOMBIN</w:t>
      </w:r>
      <w:r w:rsidRPr="00583B44">
        <w:rPr>
          <w:b/>
          <w:color w:val="202124"/>
          <w:sz w:val="22"/>
          <w:szCs w:val="22"/>
          <w:lang w:val="en-US"/>
        </w:rPr>
        <w:t xml:space="preserve"> CLONES IN THE MUNICIPALITY OF ÁGUA BRANCA,</w:t>
      </w:r>
      <w:r>
        <w:rPr>
          <w:b/>
          <w:sz w:val="22"/>
          <w:szCs w:val="22"/>
          <w:lang w:val="en-US"/>
        </w:rPr>
        <w:t xml:space="preserve"> </w:t>
      </w:r>
      <w:r w:rsidR="00E1644E" w:rsidRPr="00E1644E">
        <w:rPr>
          <w:b/>
          <w:sz w:val="22"/>
          <w:szCs w:val="22"/>
          <w:lang w:val="en-US"/>
        </w:rPr>
        <w:t>PIAUÍ</w:t>
      </w:r>
      <w:r w:rsidR="00D42646">
        <w:rPr>
          <w:b/>
          <w:sz w:val="22"/>
          <w:szCs w:val="22"/>
          <w:lang w:val="en-US"/>
        </w:rPr>
        <w:t xml:space="preserve"> STATE</w:t>
      </w:r>
    </w:p>
    <w:p w14:paraId="6BBC9FD6" w14:textId="77777777" w:rsidR="006D7BEF" w:rsidRPr="00637B4C" w:rsidRDefault="006D7BEF" w:rsidP="00A5124F">
      <w:pPr>
        <w:tabs>
          <w:tab w:val="left" w:pos="6313"/>
        </w:tabs>
        <w:adjustRightInd w:val="0"/>
        <w:jc w:val="both"/>
        <w:rPr>
          <w:b/>
          <w:szCs w:val="22"/>
          <w:lang w:val="en-US"/>
        </w:rPr>
      </w:pPr>
      <w:r>
        <w:rPr>
          <w:b/>
          <w:szCs w:val="22"/>
          <w:lang w:val="en-US"/>
        </w:rPr>
        <w:tab/>
      </w:r>
    </w:p>
    <w:p w14:paraId="3E4CCBCE" w14:textId="567407BA" w:rsidR="00A4006D" w:rsidRDefault="00E74C1E" w:rsidP="00380272">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A5124F" w:rsidRPr="00583B44">
        <w:rPr>
          <w:rStyle w:val="y2iqfc"/>
          <w:color w:val="202124"/>
          <w:sz w:val="22"/>
          <w:szCs w:val="22"/>
          <w:lang w:val="en-US"/>
        </w:rPr>
        <w:t xml:space="preserve">This work aimed to evaluate the </w:t>
      </w:r>
      <w:r w:rsidR="00AF44BF">
        <w:rPr>
          <w:rStyle w:val="y2iqfc"/>
          <w:color w:val="202124"/>
          <w:sz w:val="22"/>
          <w:szCs w:val="22"/>
          <w:lang w:val="en-US"/>
        </w:rPr>
        <w:t>fruit yield</w:t>
      </w:r>
      <w:r w:rsidR="00B2652B">
        <w:rPr>
          <w:rStyle w:val="y2iqfc"/>
          <w:color w:val="202124"/>
          <w:sz w:val="22"/>
          <w:szCs w:val="22"/>
          <w:lang w:val="en-US"/>
        </w:rPr>
        <w:t xml:space="preserve"> </w:t>
      </w:r>
      <w:r w:rsidR="00A5124F" w:rsidRPr="00583B44">
        <w:rPr>
          <w:rStyle w:val="y2iqfc"/>
          <w:color w:val="202124"/>
          <w:sz w:val="22"/>
          <w:szCs w:val="22"/>
          <w:lang w:val="en-US"/>
        </w:rPr>
        <w:t xml:space="preserve">of four </w:t>
      </w:r>
      <w:r w:rsidR="00583B44">
        <w:rPr>
          <w:rStyle w:val="y2iqfc"/>
          <w:color w:val="202124"/>
          <w:sz w:val="22"/>
          <w:szCs w:val="22"/>
          <w:lang w:val="en-US"/>
        </w:rPr>
        <w:t xml:space="preserve">yellow </w:t>
      </w:r>
      <w:proofErr w:type="spellStart"/>
      <w:r w:rsidR="00583B44">
        <w:rPr>
          <w:rStyle w:val="y2iqfc"/>
          <w:color w:val="202124"/>
          <w:sz w:val="22"/>
          <w:szCs w:val="22"/>
          <w:lang w:val="en-US"/>
        </w:rPr>
        <w:t>mombin</w:t>
      </w:r>
      <w:proofErr w:type="spellEnd"/>
      <w:r w:rsidR="00A5124F" w:rsidRPr="00583B44">
        <w:rPr>
          <w:rStyle w:val="y2iqfc"/>
          <w:color w:val="202124"/>
          <w:sz w:val="22"/>
          <w:szCs w:val="22"/>
          <w:lang w:val="en-US"/>
        </w:rPr>
        <w:t xml:space="preserve"> clones </w:t>
      </w:r>
      <w:r w:rsidR="00AF44BF">
        <w:rPr>
          <w:rStyle w:val="y2iqfc"/>
          <w:color w:val="202124"/>
          <w:sz w:val="22"/>
          <w:szCs w:val="22"/>
          <w:lang w:val="en-US"/>
        </w:rPr>
        <w:t>grown</w:t>
      </w:r>
      <w:r w:rsidR="00AF44BF" w:rsidRPr="00583B44">
        <w:rPr>
          <w:rStyle w:val="y2iqfc"/>
          <w:color w:val="202124"/>
          <w:sz w:val="22"/>
          <w:szCs w:val="22"/>
          <w:lang w:val="en-US"/>
        </w:rPr>
        <w:t xml:space="preserve"> </w:t>
      </w:r>
      <w:r w:rsidR="00A5124F" w:rsidRPr="00583B44">
        <w:rPr>
          <w:rStyle w:val="y2iqfc"/>
          <w:color w:val="202124"/>
          <w:sz w:val="22"/>
          <w:szCs w:val="22"/>
          <w:lang w:val="en-US"/>
        </w:rPr>
        <w:t xml:space="preserve">under rainfed conditions in the municipality of </w:t>
      </w:r>
      <w:proofErr w:type="spellStart"/>
      <w:r w:rsidR="00A5124F" w:rsidRPr="00583B44">
        <w:rPr>
          <w:rStyle w:val="y2iqfc"/>
          <w:color w:val="202124"/>
          <w:sz w:val="22"/>
          <w:szCs w:val="22"/>
          <w:lang w:val="en-US"/>
        </w:rPr>
        <w:t>Água</w:t>
      </w:r>
      <w:proofErr w:type="spellEnd"/>
      <w:r w:rsidR="00A5124F" w:rsidRPr="00583B44">
        <w:rPr>
          <w:rStyle w:val="y2iqfc"/>
          <w:color w:val="202124"/>
          <w:sz w:val="22"/>
          <w:szCs w:val="22"/>
          <w:lang w:val="en-US"/>
        </w:rPr>
        <w:t xml:space="preserve"> </w:t>
      </w:r>
      <w:proofErr w:type="spellStart"/>
      <w:r w:rsidR="00A5124F" w:rsidRPr="00583B44">
        <w:rPr>
          <w:rStyle w:val="y2iqfc"/>
          <w:color w:val="202124"/>
          <w:sz w:val="22"/>
          <w:szCs w:val="22"/>
          <w:lang w:val="en-US"/>
        </w:rPr>
        <w:t>Branca</w:t>
      </w:r>
      <w:proofErr w:type="spellEnd"/>
      <w:r w:rsidR="00A5124F" w:rsidRPr="00583B44">
        <w:rPr>
          <w:rStyle w:val="y2iqfc"/>
          <w:color w:val="202124"/>
          <w:sz w:val="22"/>
          <w:szCs w:val="22"/>
          <w:lang w:val="en-US"/>
        </w:rPr>
        <w:t xml:space="preserve">, </w:t>
      </w:r>
      <w:proofErr w:type="spellStart"/>
      <w:r w:rsidR="00A5124F" w:rsidRPr="00583B44">
        <w:rPr>
          <w:rStyle w:val="y2iqfc"/>
          <w:color w:val="202124"/>
          <w:sz w:val="22"/>
          <w:szCs w:val="22"/>
          <w:lang w:val="en-US"/>
        </w:rPr>
        <w:t>Piauí</w:t>
      </w:r>
      <w:proofErr w:type="spellEnd"/>
      <w:r w:rsidR="00A5124F" w:rsidRPr="00583B44">
        <w:rPr>
          <w:rStyle w:val="y2iqfc"/>
          <w:color w:val="202124"/>
          <w:sz w:val="22"/>
          <w:szCs w:val="22"/>
          <w:lang w:val="en-US"/>
        </w:rPr>
        <w:t xml:space="preserve">. The evaluations were carried out during the years 2021 and 2022. The statistical design used was randomized blocks, with four replications and four plants per plot. The treatments consisted of clones AGB1, AGB2, AGB10 and ZLU. The seedlings were planted at 10 x 10 m spacing, in a triangular arrangement. In 2021, </w:t>
      </w:r>
      <w:r w:rsidR="00AF44BF">
        <w:rPr>
          <w:rStyle w:val="y2iqfc"/>
          <w:color w:val="202124"/>
          <w:sz w:val="22"/>
          <w:szCs w:val="22"/>
          <w:lang w:val="en-US"/>
        </w:rPr>
        <w:t>fruit yield</w:t>
      </w:r>
      <w:r w:rsidR="00AF44BF" w:rsidRPr="00583B44">
        <w:rPr>
          <w:rStyle w:val="y2iqfc"/>
          <w:color w:val="202124"/>
          <w:sz w:val="22"/>
          <w:szCs w:val="22"/>
          <w:lang w:val="en-US"/>
        </w:rPr>
        <w:t xml:space="preserve"> </w:t>
      </w:r>
      <w:r w:rsidR="00A5124F" w:rsidRPr="00583B44">
        <w:rPr>
          <w:rStyle w:val="y2iqfc"/>
          <w:color w:val="202124"/>
          <w:sz w:val="22"/>
          <w:szCs w:val="22"/>
          <w:lang w:val="en-US"/>
        </w:rPr>
        <w:t xml:space="preserve">ranged from 6.20 t/ha to 10.99 t/ha, for AGB1 and ZLU clones, respectively, but there were no significant differences </w:t>
      </w:r>
      <w:r w:rsidR="00AF44BF">
        <w:rPr>
          <w:rStyle w:val="y2iqfc"/>
          <w:color w:val="202124"/>
          <w:sz w:val="22"/>
          <w:szCs w:val="22"/>
          <w:lang w:val="en-US"/>
        </w:rPr>
        <w:t>among</w:t>
      </w:r>
      <w:r w:rsidR="00AF44BF" w:rsidRPr="00583B44">
        <w:rPr>
          <w:rStyle w:val="y2iqfc"/>
          <w:color w:val="202124"/>
          <w:sz w:val="22"/>
          <w:szCs w:val="22"/>
          <w:lang w:val="en-US"/>
        </w:rPr>
        <w:t xml:space="preserve"> </w:t>
      </w:r>
      <w:r w:rsidR="00A5124F" w:rsidRPr="00583B44">
        <w:rPr>
          <w:rStyle w:val="y2iqfc"/>
          <w:color w:val="202124"/>
          <w:sz w:val="22"/>
          <w:szCs w:val="22"/>
          <w:lang w:val="en-US"/>
        </w:rPr>
        <w:t>clones. In 2022, clones AGB</w:t>
      </w:r>
      <w:r w:rsidR="000256A4">
        <w:rPr>
          <w:rStyle w:val="y2iqfc"/>
          <w:color w:val="202124"/>
          <w:sz w:val="22"/>
          <w:szCs w:val="22"/>
          <w:lang w:val="en-US"/>
        </w:rPr>
        <w:t>2</w:t>
      </w:r>
      <w:r w:rsidR="00A5124F" w:rsidRPr="00583B44">
        <w:rPr>
          <w:rStyle w:val="y2iqfc"/>
          <w:color w:val="202124"/>
          <w:sz w:val="22"/>
          <w:szCs w:val="22"/>
          <w:lang w:val="en-US"/>
        </w:rPr>
        <w:t>, ZLU and AGB</w:t>
      </w:r>
      <w:r w:rsidR="000256A4">
        <w:rPr>
          <w:rStyle w:val="y2iqfc"/>
          <w:color w:val="202124"/>
          <w:sz w:val="22"/>
          <w:szCs w:val="22"/>
          <w:lang w:val="en-US"/>
        </w:rPr>
        <w:t>10</w:t>
      </w:r>
      <w:r w:rsidR="00A5124F" w:rsidRPr="00583B44">
        <w:rPr>
          <w:rStyle w:val="y2iqfc"/>
          <w:color w:val="202124"/>
          <w:sz w:val="22"/>
          <w:szCs w:val="22"/>
          <w:lang w:val="en-US"/>
        </w:rPr>
        <w:t xml:space="preserve"> showed </w:t>
      </w:r>
      <w:r w:rsidR="00AF44BF">
        <w:rPr>
          <w:rStyle w:val="y2iqfc"/>
          <w:color w:val="202124"/>
          <w:sz w:val="22"/>
          <w:szCs w:val="22"/>
          <w:lang w:val="en-US"/>
        </w:rPr>
        <w:t>fruit yield</w:t>
      </w:r>
      <w:r w:rsidR="00AF44BF" w:rsidRPr="00583B44">
        <w:rPr>
          <w:rStyle w:val="y2iqfc"/>
          <w:color w:val="202124"/>
          <w:sz w:val="22"/>
          <w:szCs w:val="22"/>
          <w:lang w:val="en-US"/>
        </w:rPr>
        <w:t xml:space="preserve"> </w:t>
      </w:r>
      <w:r w:rsidR="00A5124F" w:rsidRPr="00583B44">
        <w:rPr>
          <w:rStyle w:val="y2iqfc"/>
          <w:color w:val="202124"/>
          <w:sz w:val="22"/>
          <w:szCs w:val="22"/>
          <w:lang w:val="en-US"/>
        </w:rPr>
        <w:t xml:space="preserve">reductions of </w:t>
      </w:r>
      <w:r w:rsidR="00AF44BF">
        <w:rPr>
          <w:rStyle w:val="y2iqfc"/>
          <w:color w:val="202124"/>
          <w:sz w:val="22"/>
          <w:szCs w:val="22"/>
          <w:lang w:val="en-US"/>
        </w:rPr>
        <w:t>48,05</w:t>
      </w:r>
      <w:r w:rsidR="00A5124F" w:rsidRPr="00583B44">
        <w:rPr>
          <w:rStyle w:val="y2iqfc"/>
          <w:color w:val="202124"/>
          <w:sz w:val="22"/>
          <w:szCs w:val="22"/>
          <w:lang w:val="en-US"/>
        </w:rPr>
        <w:t xml:space="preserve">%, 65.24% and </w:t>
      </w:r>
      <w:r w:rsidR="00AF44BF">
        <w:rPr>
          <w:rStyle w:val="y2iqfc"/>
          <w:color w:val="202124"/>
          <w:sz w:val="22"/>
          <w:szCs w:val="22"/>
          <w:lang w:val="en-US"/>
        </w:rPr>
        <w:t>88,97</w:t>
      </w:r>
      <w:r w:rsidR="00A5124F" w:rsidRPr="00583B44">
        <w:rPr>
          <w:rStyle w:val="y2iqfc"/>
          <w:color w:val="202124"/>
          <w:sz w:val="22"/>
          <w:szCs w:val="22"/>
          <w:lang w:val="en-US"/>
        </w:rPr>
        <w:t>%, respectively, denoting a sharp alternation of production. Clones AGB1 and AGB2 were the most promising in terms of pulp percentage, with values ​​above 43%.</w:t>
      </w:r>
    </w:p>
    <w:p w14:paraId="23336971" w14:textId="77777777" w:rsidR="00E74C1E" w:rsidRPr="00637B4C"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FE5A0D" w:rsidRPr="002763AA">
        <w:rPr>
          <w:i/>
          <w:iCs/>
          <w:sz w:val="22"/>
          <w:szCs w:val="22"/>
          <w:lang w:val="en-US"/>
        </w:rPr>
        <w:t>Spondias mombin</w:t>
      </w:r>
      <w:r w:rsidR="00FE5A0D" w:rsidRPr="004C0794">
        <w:rPr>
          <w:sz w:val="22"/>
          <w:szCs w:val="22"/>
          <w:lang w:val="en-US"/>
        </w:rPr>
        <w:t xml:space="preserve"> L.</w:t>
      </w:r>
      <w:r w:rsidR="00FE5A0D" w:rsidRPr="005C511B">
        <w:rPr>
          <w:sz w:val="22"/>
          <w:szCs w:val="22"/>
          <w:lang w:val="en-US"/>
        </w:rPr>
        <w:t xml:space="preserve">, </w:t>
      </w:r>
      <w:r w:rsidR="00326F14" w:rsidRPr="00363F86">
        <w:rPr>
          <w:sz w:val="22"/>
          <w:szCs w:val="22"/>
          <w:lang w:val="en-US"/>
        </w:rPr>
        <w:t>Native fruit trees</w:t>
      </w:r>
      <w:r w:rsidR="00326F14">
        <w:rPr>
          <w:sz w:val="22"/>
          <w:szCs w:val="22"/>
          <w:lang w:val="en-US"/>
        </w:rPr>
        <w:t xml:space="preserve">, </w:t>
      </w:r>
      <w:proofErr w:type="spellStart"/>
      <w:r w:rsidR="00E4620E">
        <w:rPr>
          <w:sz w:val="22"/>
          <w:szCs w:val="22"/>
          <w:lang w:val="en-US"/>
        </w:rPr>
        <w:t>Hogplum</w:t>
      </w:r>
      <w:proofErr w:type="spellEnd"/>
    </w:p>
    <w:p w14:paraId="0660D218" w14:textId="77777777" w:rsidR="00611409" w:rsidRPr="004C0794" w:rsidRDefault="00611409" w:rsidP="004C0794">
      <w:pPr>
        <w:ind w:right="-1"/>
        <w:jc w:val="both"/>
        <w:rPr>
          <w:sz w:val="22"/>
          <w:szCs w:val="22"/>
          <w:lang w:val="en-US"/>
        </w:rPr>
      </w:pPr>
    </w:p>
    <w:p w14:paraId="4B68A57B" w14:textId="77777777" w:rsidR="00E74C1E" w:rsidRPr="00A5124F" w:rsidRDefault="00E74C1E" w:rsidP="004C0794">
      <w:pPr>
        <w:ind w:right="-1"/>
        <w:jc w:val="both"/>
        <w:rPr>
          <w:b/>
          <w:sz w:val="22"/>
          <w:szCs w:val="22"/>
        </w:rPr>
      </w:pPr>
      <w:r w:rsidRPr="00A5124F">
        <w:rPr>
          <w:b/>
          <w:sz w:val="22"/>
          <w:szCs w:val="22"/>
        </w:rPr>
        <w:t>INTRODUÇÃO</w:t>
      </w:r>
    </w:p>
    <w:p w14:paraId="08A13375" w14:textId="77777777" w:rsidR="006E6033" w:rsidRPr="006E6033" w:rsidRDefault="006E6033" w:rsidP="006E6033">
      <w:pPr>
        <w:pStyle w:val="Default"/>
        <w:ind w:firstLine="707"/>
        <w:jc w:val="both"/>
        <w:rPr>
          <w:sz w:val="22"/>
          <w:szCs w:val="22"/>
        </w:rPr>
      </w:pPr>
      <w:r w:rsidRPr="006E6033">
        <w:rPr>
          <w:sz w:val="22"/>
          <w:szCs w:val="22"/>
        </w:rPr>
        <w:t>A cajazeira (</w:t>
      </w:r>
      <w:r w:rsidRPr="006E6033">
        <w:rPr>
          <w:i/>
          <w:iCs/>
          <w:sz w:val="22"/>
          <w:szCs w:val="22"/>
        </w:rPr>
        <w:t xml:space="preserve">Spondias mombin </w:t>
      </w:r>
      <w:r w:rsidRPr="006E6033">
        <w:rPr>
          <w:sz w:val="22"/>
          <w:szCs w:val="22"/>
        </w:rPr>
        <w:t xml:space="preserve">L.), pertencente à família </w:t>
      </w:r>
      <w:proofErr w:type="spellStart"/>
      <w:r w:rsidRPr="006E6033">
        <w:rPr>
          <w:sz w:val="22"/>
          <w:szCs w:val="22"/>
        </w:rPr>
        <w:t>Anarcadiaceae</w:t>
      </w:r>
      <w:proofErr w:type="spellEnd"/>
      <w:r w:rsidRPr="006E6033">
        <w:rPr>
          <w:sz w:val="22"/>
          <w:szCs w:val="22"/>
        </w:rPr>
        <w:t>, é uma fruteira tropical de fácil ocorrência na Região Meio-Norte do Brasil. Segundo MITCHELL e DALY (2015), esta espécie se encontra distribuída desde o Sul do México até o Sudeste Brasileiro. Os seus frutos são empregados principalmente na fabricação de polpa congelada, a qual é considerada como uma das que apresenta maior aceitação entre as polpas de frutas comercializadas na Região Nordeste, além de serem processados na forma de sucos, sorvetes, picolés, néctares e doces.</w:t>
      </w:r>
    </w:p>
    <w:p w14:paraId="2B3FC5D4" w14:textId="77777777" w:rsidR="006E6033" w:rsidRPr="006E6033" w:rsidRDefault="006E6033" w:rsidP="006E6033">
      <w:pPr>
        <w:pStyle w:val="Default"/>
        <w:ind w:firstLine="707"/>
        <w:jc w:val="both"/>
        <w:rPr>
          <w:sz w:val="22"/>
          <w:szCs w:val="22"/>
        </w:rPr>
      </w:pPr>
      <w:r w:rsidRPr="006E6033">
        <w:rPr>
          <w:sz w:val="22"/>
          <w:szCs w:val="22"/>
        </w:rPr>
        <w:lastRenderedPageBreak/>
        <w:t xml:space="preserve">A exploração da cajazeira se dá basicamente de forma extrativista, no entanto, tem considerável importância socioeconômica para a região Nordeste do Brasil. Dada à grande procura e aceitação dos produtos oriundos dos seus frutos, isto tem contribuído para o surgimento de dezenas de agroindústrias de processamento de polpas, as quais são comercializadas principalmente em feiras, supermercados e </w:t>
      </w:r>
      <w:proofErr w:type="spellStart"/>
      <w:r w:rsidRPr="006E6033">
        <w:rPr>
          <w:sz w:val="22"/>
          <w:szCs w:val="22"/>
        </w:rPr>
        <w:t>Ceasas</w:t>
      </w:r>
      <w:proofErr w:type="spellEnd"/>
      <w:r w:rsidRPr="006E6033">
        <w:rPr>
          <w:sz w:val="22"/>
          <w:szCs w:val="22"/>
        </w:rPr>
        <w:t>.</w:t>
      </w:r>
    </w:p>
    <w:p w14:paraId="489523F1" w14:textId="77777777" w:rsidR="006E6033" w:rsidRPr="006E6033" w:rsidRDefault="006E6033" w:rsidP="006E6033">
      <w:pPr>
        <w:pStyle w:val="Default"/>
        <w:ind w:firstLine="707"/>
        <w:jc w:val="both"/>
        <w:rPr>
          <w:sz w:val="22"/>
          <w:szCs w:val="22"/>
        </w:rPr>
      </w:pPr>
      <w:r w:rsidRPr="006E6033">
        <w:rPr>
          <w:sz w:val="22"/>
          <w:szCs w:val="22"/>
        </w:rPr>
        <w:t>A crescente demanda por produtos processados de cajá tem despertado o interesse de produtores para o seu cultivo em bases tecnificadas, o que já vem ocorrendo no Estado do Piauí, que já conta, atualmente, com cerca de 80 ha de pomares comerciais de cajazeiras. Para dar suporte à expansão das áreas com plantios comerciais de cajá, é imprescindível o desenvolvimento de clones com características elevadas de produtividade e qualidade de frutos.</w:t>
      </w:r>
    </w:p>
    <w:p w14:paraId="1C90AACC" w14:textId="4B6AF63C" w:rsidR="003C57AE" w:rsidRPr="006E6033" w:rsidRDefault="006E6033" w:rsidP="006E6033">
      <w:pPr>
        <w:ind w:right="-1" w:firstLine="709"/>
        <w:jc w:val="both"/>
        <w:rPr>
          <w:sz w:val="22"/>
          <w:szCs w:val="22"/>
        </w:rPr>
      </w:pPr>
      <w:r w:rsidRPr="006E6033">
        <w:rPr>
          <w:sz w:val="22"/>
          <w:szCs w:val="22"/>
        </w:rPr>
        <w:t xml:space="preserve">Com base no exposto, o presente trabalho </w:t>
      </w:r>
      <w:proofErr w:type="gramStart"/>
      <w:r w:rsidR="00341521">
        <w:rPr>
          <w:sz w:val="22"/>
          <w:szCs w:val="22"/>
        </w:rPr>
        <w:t xml:space="preserve">objetivou </w:t>
      </w:r>
      <w:r w:rsidRPr="006E6033">
        <w:rPr>
          <w:sz w:val="22"/>
          <w:szCs w:val="22"/>
        </w:rPr>
        <w:t xml:space="preserve"> avaliar</w:t>
      </w:r>
      <w:proofErr w:type="gramEnd"/>
      <w:r w:rsidRPr="006E6033">
        <w:rPr>
          <w:sz w:val="22"/>
          <w:szCs w:val="22"/>
        </w:rPr>
        <w:t xml:space="preserve"> o comportamento produtivo de quatro clones de cajazeira oriundos de plantas matrizes selecionadas no município de Água Branca e Teresina, Estado do Piauí.</w:t>
      </w:r>
    </w:p>
    <w:p w14:paraId="74F50A34" w14:textId="77777777" w:rsidR="004C0794" w:rsidRDefault="004C0794" w:rsidP="00380272">
      <w:pPr>
        <w:ind w:right="-1"/>
        <w:rPr>
          <w:b/>
          <w:sz w:val="22"/>
          <w:szCs w:val="22"/>
        </w:rPr>
      </w:pPr>
    </w:p>
    <w:p w14:paraId="779572A2" w14:textId="77777777" w:rsidR="00E74C1E"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3B5BB9E5" w14:textId="77777777" w:rsidR="00B829A0" w:rsidRPr="000B27CE" w:rsidRDefault="005414AE" w:rsidP="00170E1B">
      <w:pPr>
        <w:ind w:right="-1" w:firstLine="709"/>
        <w:jc w:val="both"/>
        <w:rPr>
          <w:sz w:val="22"/>
          <w:szCs w:val="22"/>
        </w:rPr>
      </w:pPr>
      <w:r>
        <w:rPr>
          <w:sz w:val="22"/>
          <w:szCs w:val="22"/>
        </w:rPr>
        <w:t>A pesquisa foi realizada durante os anos de 2021 e 2022 em um p</w:t>
      </w:r>
      <w:r w:rsidR="00B45539">
        <w:rPr>
          <w:sz w:val="22"/>
          <w:szCs w:val="22"/>
        </w:rPr>
        <w:t>lantio</w:t>
      </w:r>
      <w:r>
        <w:rPr>
          <w:sz w:val="22"/>
          <w:szCs w:val="22"/>
        </w:rPr>
        <w:t xml:space="preserve"> de cajazeira situado </w:t>
      </w:r>
      <w:r w:rsidRPr="005414AE">
        <w:rPr>
          <w:sz w:val="22"/>
          <w:szCs w:val="22"/>
        </w:rPr>
        <w:t xml:space="preserve">na localidade Sambaíba, </w:t>
      </w:r>
      <w:r>
        <w:rPr>
          <w:sz w:val="22"/>
          <w:szCs w:val="22"/>
        </w:rPr>
        <w:t xml:space="preserve">zona rural do </w:t>
      </w:r>
      <w:r w:rsidRPr="005414AE">
        <w:rPr>
          <w:sz w:val="22"/>
          <w:szCs w:val="22"/>
        </w:rPr>
        <w:t>município de Água Branca, Estado do Piauí</w:t>
      </w:r>
      <w:r>
        <w:rPr>
          <w:sz w:val="22"/>
          <w:szCs w:val="22"/>
        </w:rPr>
        <w:t>.</w:t>
      </w:r>
      <w:r w:rsidRPr="005414AE">
        <w:rPr>
          <w:sz w:val="22"/>
          <w:szCs w:val="22"/>
        </w:rPr>
        <w:t xml:space="preserve"> </w:t>
      </w:r>
      <w:r w:rsidR="0003314F" w:rsidRPr="005414AE">
        <w:rPr>
          <w:sz w:val="22"/>
          <w:szCs w:val="22"/>
        </w:rPr>
        <w:t xml:space="preserve">O ensaio foi implantado em janeiro de 2009, e conduzido sob condições de sequeiro. Utilizaram-se mudas enxertadas por garfagem no topo em fenda cheia, em porta-enxertos de cajazeira obtidos de sementes. </w:t>
      </w:r>
      <w:r w:rsidR="0003314F" w:rsidRPr="000B27CE">
        <w:rPr>
          <w:sz w:val="22"/>
          <w:szCs w:val="22"/>
        </w:rPr>
        <w:t>O plantio das mudas foi realizado no espaçamento de 10 x 10 m, em disposição triangular</w:t>
      </w:r>
      <w:r w:rsidR="000B27CE" w:rsidRPr="000B27CE">
        <w:rPr>
          <w:sz w:val="22"/>
          <w:szCs w:val="22"/>
        </w:rPr>
        <w:t>, em covas com dimensões de 40 x 40 x 40 cm, adubadas com 20 L de esterco bovino, 500 g de superfosfato simples e 300 g de calcário dolomítico</w:t>
      </w:r>
      <w:r w:rsidR="0003314F" w:rsidRPr="000B27CE">
        <w:rPr>
          <w:sz w:val="22"/>
          <w:szCs w:val="22"/>
        </w:rPr>
        <w:t xml:space="preserve">. </w:t>
      </w:r>
    </w:p>
    <w:p w14:paraId="48F76892" w14:textId="77777777" w:rsidR="00B829A0" w:rsidRPr="006E6033" w:rsidRDefault="00B45539" w:rsidP="00170E1B">
      <w:pPr>
        <w:ind w:right="-1" w:firstLine="709"/>
        <w:jc w:val="both"/>
        <w:rPr>
          <w:sz w:val="22"/>
          <w:szCs w:val="22"/>
        </w:rPr>
      </w:pPr>
      <w:r w:rsidRPr="00B45539">
        <w:rPr>
          <w:sz w:val="22"/>
          <w:szCs w:val="22"/>
        </w:rPr>
        <w:t xml:space="preserve">Os tratamentos consistiram de </w:t>
      </w:r>
      <w:r>
        <w:rPr>
          <w:sz w:val="22"/>
          <w:szCs w:val="22"/>
        </w:rPr>
        <w:t>quatr</w:t>
      </w:r>
      <w:r w:rsidRPr="00B45539">
        <w:rPr>
          <w:sz w:val="22"/>
          <w:szCs w:val="22"/>
        </w:rPr>
        <w:t xml:space="preserve">o clones copas de cajazeira, obtidos de plantas adultas e produtivas localizadas nos municípios de Água Branca (clones AGB1, AGB2 e AGB10) e Teresina </w:t>
      </w:r>
      <w:r w:rsidRPr="006E6033">
        <w:rPr>
          <w:sz w:val="22"/>
          <w:szCs w:val="22"/>
        </w:rPr>
        <w:t>(clone ZLU). Utilizou-se o delineamento estatístico de blocos ao acaso, com quatro repetições e quatro plantas úteis por parcela.</w:t>
      </w:r>
    </w:p>
    <w:p w14:paraId="567395D5" w14:textId="77777777" w:rsidR="0003314F" w:rsidRPr="006E6033" w:rsidRDefault="005414AE" w:rsidP="00170E1B">
      <w:pPr>
        <w:ind w:right="-1" w:firstLine="709"/>
        <w:jc w:val="both"/>
        <w:rPr>
          <w:sz w:val="22"/>
          <w:szCs w:val="22"/>
        </w:rPr>
      </w:pPr>
      <w:r w:rsidRPr="006E6033">
        <w:rPr>
          <w:sz w:val="22"/>
          <w:szCs w:val="22"/>
        </w:rPr>
        <w:t>As plantas foram mantidas no limpo por meio de coroamentos e capinas manuais com enxada. Desde o plantio, o cultivo das cajazeiras vem sendo consorciado com milho</w:t>
      </w:r>
      <w:r w:rsidR="00E4620E" w:rsidRPr="006E6033">
        <w:rPr>
          <w:sz w:val="22"/>
          <w:szCs w:val="22"/>
        </w:rPr>
        <w:t xml:space="preserve"> e, nos últimos quatro anos, com gado</w:t>
      </w:r>
      <w:r w:rsidRPr="006E6033">
        <w:rPr>
          <w:sz w:val="22"/>
          <w:szCs w:val="22"/>
        </w:rPr>
        <w:t xml:space="preserve">. </w:t>
      </w:r>
      <w:r w:rsidR="00E4620E" w:rsidRPr="006E6033">
        <w:rPr>
          <w:sz w:val="22"/>
          <w:szCs w:val="22"/>
        </w:rPr>
        <w:t xml:space="preserve">A adubação das safras de 2021 e 2022 foi realizada com a aplicação de 1 kg de uréia, 2 kg de superfosfato simples e 1 kg de cloreto de potássio por planta. </w:t>
      </w:r>
      <w:r w:rsidRPr="006E6033">
        <w:rPr>
          <w:sz w:val="22"/>
          <w:szCs w:val="22"/>
        </w:rPr>
        <w:t>Até o momento, o controle de pragas e doenças não foi necessário, tendo sido observado apenas um pequeno ataque de pulgões.</w:t>
      </w:r>
    </w:p>
    <w:p w14:paraId="2B4802B1" w14:textId="77777777" w:rsidR="0003314F" w:rsidRPr="006E6033" w:rsidRDefault="009214CE" w:rsidP="00170E1B">
      <w:pPr>
        <w:ind w:right="-1" w:firstLine="709"/>
        <w:jc w:val="both"/>
        <w:rPr>
          <w:sz w:val="22"/>
          <w:szCs w:val="22"/>
        </w:rPr>
      </w:pPr>
      <w:r w:rsidRPr="006E6033">
        <w:rPr>
          <w:sz w:val="22"/>
          <w:szCs w:val="22"/>
        </w:rPr>
        <w:t>O</w:t>
      </w:r>
      <w:r w:rsidR="005414AE" w:rsidRPr="006E6033">
        <w:rPr>
          <w:sz w:val="22"/>
          <w:szCs w:val="22"/>
        </w:rPr>
        <w:t xml:space="preserve">s </w:t>
      </w:r>
      <w:r w:rsidRPr="006E6033">
        <w:rPr>
          <w:sz w:val="22"/>
          <w:szCs w:val="22"/>
        </w:rPr>
        <w:t xml:space="preserve">dados </w:t>
      </w:r>
      <w:r w:rsidRPr="006E6033">
        <w:rPr>
          <w:color w:val="222222"/>
          <w:sz w:val="22"/>
          <w:szCs w:val="22"/>
          <w:shd w:val="clear" w:color="auto" w:fill="FFFFFF"/>
        </w:rPr>
        <w:t>de produtividade nos anos de 2021 e 2022</w:t>
      </w:r>
      <w:r w:rsidRPr="006E6033">
        <w:rPr>
          <w:sz w:val="22"/>
          <w:szCs w:val="22"/>
        </w:rPr>
        <w:t xml:space="preserve"> foram submetidos à análise de variância e teste de Tukey para comparação de médias. Os testes de Bartlett e Shapiro-Wilk foram aplicados para avaliar as pressuposições de </w:t>
      </w:r>
      <w:proofErr w:type="spellStart"/>
      <w:r w:rsidRPr="006E6033">
        <w:rPr>
          <w:sz w:val="22"/>
          <w:szCs w:val="22"/>
        </w:rPr>
        <w:t>homocedasticidade</w:t>
      </w:r>
      <w:proofErr w:type="spellEnd"/>
      <w:r w:rsidRPr="006E6033">
        <w:rPr>
          <w:sz w:val="22"/>
          <w:szCs w:val="22"/>
        </w:rPr>
        <w:t xml:space="preserve"> de variâncias dos tratamentos e normalidade dos resíduos, respectivamente. Na ausência destes pressupostos, os dados foram transformados pelo Método Potência Ótima de Box-Cox (BOX; COX, 1964).</w:t>
      </w:r>
    </w:p>
    <w:p w14:paraId="049C12E0" w14:textId="77777777" w:rsidR="009214CE" w:rsidRPr="006E6033" w:rsidRDefault="009214CE" w:rsidP="00170E1B">
      <w:pPr>
        <w:ind w:right="-1" w:firstLine="709"/>
        <w:jc w:val="both"/>
        <w:rPr>
          <w:sz w:val="22"/>
          <w:szCs w:val="22"/>
        </w:rPr>
      </w:pPr>
      <w:r w:rsidRPr="006E6033">
        <w:rPr>
          <w:sz w:val="22"/>
          <w:szCs w:val="22"/>
        </w:rPr>
        <w:t>As análises foram realizadas pelo Software R de computação estatística (R CORE TEAM, 2022).</w:t>
      </w:r>
    </w:p>
    <w:p w14:paraId="728CD54B" w14:textId="77777777" w:rsidR="0003314F" w:rsidRPr="006E6033" w:rsidRDefault="0003314F" w:rsidP="00170E1B">
      <w:pPr>
        <w:ind w:right="-1" w:firstLine="709"/>
        <w:jc w:val="both"/>
        <w:rPr>
          <w:sz w:val="22"/>
          <w:szCs w:val="22"/>
        </w:rPr>
      </w:pPr>
    </w:p>
    <w:p w14:paraId="1FDF87BF" w14:textId="77777777" w:rsidR="00C350B6" w:rsidRPr="006E6033" w:rsidRDefault="00C350B6" w:rsidP="00170E1B">
      <w:pPr>
        <w:tabs>
          <w:tab w:val="left" w:pos="0"/>
        </w:tabs>
        <w:autoSpaceDE w:val="0"/>
        <w:autoSpaceDN w:val="0"/>
        <w:adjustRightInd w:val="0"/>
        <w:jc w:val="both"/>
        <w:rPr>
          <w:b/>
          <w:bCs/>
          <w:sz w:val="22"/>
          <w:szCs w:val="22"/>
        </w:rPr>
      </w:pPr>
      <w:r w:rsidRPr="006E6033">
        <w:rPr>
          <w:b/>
          <w:bCs/>
          <w:sz w:val="22"/>
          <w:szCs w:val="22"/>
        </w:rPr>
        <w:t>RESULTADOS E DISCUSSÃO</w:t>
      </w:r>
    </w:p>
    <w:p w14:paraId="5D677AA2" w14:textId="61752D78" w:rsidR="00E676AD" w:rsidRDefault="00170E1B" w:rsidP="00170E1B">
      <w:pPr>
        <w:tabs>
          <w:tab w:val="left" w:pos="0"/>
        </w:tabs>
        <w:autoSpaceDE w:val="0"/>
        <w:autoSpaceDN w:val="0"/>
        <w:adjustRightInd w:val="0"/>
        <w:jc w:val="both"/>
        <w:rPr>
          <w:bCs/>
          <w:sz w:val="22"/>
          <w:szCs w:val="22"/>
        </w:rPr>
      </w:pPr>
      <w:r>
        <w:rPr>
          <w:bCs/>
          <w:sz w:val="22"/>
          <w:szCs w:val="22"/>
        </w:rPr>
        <w:tab/>
      </w:r>
      <w:r w:rsidR="00C156C4" w:rsidRPr="00170E1B">
        <w:rPr>
          <w:bCs/>
          <w:sz w:val="22"/>
          <w:szCs w:val="22"/>
        </w:rPr>
        <w:t xml:space="preserve">Os valores médios </w:t>
      </w:r>
      <w:r w:rsidR="00D919CE" w:rsidRPr="00170E1B">
        <w:rPr>
          <w:bCs/>
          <w:sz w:val="22"/>
          <w:szCs w:val="22"/>
        </w:rPr>
        <w:t>e desvio</w:t>
      </w:r>
      <w:r w:rsidR="00B57A19">
        <w:rPr>
          <w:bCs/>
          <w:sz w:val="22"/>
          <w:szCs w:val="22"/>
        </w:rPr>
        <w:t>s</w:t>
      </w:r>
      <w:r w:rsidR="00D919CE" w:rsidRPr="00170E1B">
        <w:rPr>
          <w:bCs/>
          <w:sz w:val="22"/>
          <w:szCs w:val="22"/>
        </w:rPr>
        <w:t xml:space="preserve"> </w:t>
      </w:r>
      <w:r w:rsidR="000E0BAA" w:rsidRPr="00170E1B">
        <w:rPr>
          <w:bCs/>
          <w:sz w:val="22"/>
          <w:szCs w:val="22"/>
        </w:rPr>
        <w:t>padr</w:t>
      </w:r>
      <w:r w:rsidR="000E0BAA">
        <w:rPr>
          <w:bCs/>
          <w:sz w:val="22"/>
          <w:szCs w:val="22"/>
        </w:rPr>
        <w:t>ões</w:t>
      </w:r>
      <w:r w:rsidR="000E0BAA" w:rsidRPr="00170E1B">
        <w:rPr>
          <w:bCs/>
          <w:sz w:val="22"/>
          <w:szCs w:val="22"/>
        </w:rPr>
        <w:t xml:space="preserve"> </w:t>
      </w:r>
      <w:r w:rsidR="00C156C4" w:rsidRPr="00170E1B">
        <w:rPr>
          <w:bCs/>
          <w:sz w:val="22"/>
          <w:szCs w:val="22"/>
        </w:rPr>
        <w:t xml:space="preserve">de </w:t>
      </w:r>
      <w:r w:rsidR="003F150A">
        <w:rPr>
          <w:bCs/>
          <w:sz w:val="22"/>
          <w:szCs w:val="22"/>
        </w:rPr>
        <w:t>produtividade de quatro clones</w:t>
      </w:r>
      <w:r w:rsidR="003F150A" w:rsidRPr="00170E1B">
        <w:rPr>
          <w:bCs/>
          <w:sz w:val="22"/>
          <w:szCs w:val="22"/>
        </w:rPr>
        <w:t xml:space="preserve"> d</w:t>
      </w:r>
      <w:r w:rsidR="003F150A">
        <w:rPr>
          <w:bCs/>
          <w:sz w:val="22"/>
          <w:szCs w:val="22"/>
        </w:rPr>
        <w:t>e</w:t>
      </w:r>
      <w:r w:rsidR="003F150A" w:rsidRPr="00170E1B">
        <w:rPr>
          <w:bCs/>
          <w:sz w:val="22"/>
          <w:szCs w:val="22"/>
        </w:rPr>
        <w:t xml:space="preserve"> cajazeiras</w:t>
      </w:r>
      <w:r w:rsidR="003F150A">
        <w:rPr>
          <w:bCs/>
          <w:sz w:val="22"/>
          <w:szCs w:val="22"/>
        </w:rPr>
        <w:t xml:space="preserve"> </w:t>
      </w:r>
      <w:r w:rsidR="003F150A" w:rsidRPr="00170E1B">
        <w:rPr>
          <w:bCs/>
          <w:sz w:val="22"/>
          <w:szCs w:val="22"/>
        </w:rPr>
        <w:t>conduzida</w:t>
      </w:r>
      <w:r w:rsidR="003F150A">
        <w:rPr>
          <w:bCs/>
          <w:sz w:val="22"/>
          <w:szCs w:val="22"/>
        </w:rPr>
        <w:t>s</w:t>
      </w:r>
      <w:r w:rsidR="003F150A" w:rsidRPr="00170E1B">
        <w:rPr>
          <w:bCs/>
          <w:sz w:val="22"/>
          <w:szCs w:val="22"/>
        </w:rPr>
        <w:t xml:space="preserve"> sob </w:t>
      </w:r>
      <w:r w:rsidR="003F150A">
        <w:rPr>
          <w:bCs/>
          <w:sz w:val="22"/>
          <w:szCs w:val="22"/>
        </w:rPr>
        <w:t>sequeiro no município de Água Branca-PI nos anos de 2021 e 2022</w:t>
      </w:r>
      <w:r w:rsidR="00D919CE" w:rsidRPr="00170E1B">
        <w:rPr>
          <w:bCs/>
          <w:sz w:val="22"/>
          <w:szCs w:val="22"/>
        </w:rPr>
        <w:t>,</w:t>
      </w:r>
      <w:r w:rsidR="003F150A">
        <w:rPr>
          <w:bCs/>
          <w:sz w:val="22"/>
          <w:szCs w:val="22"/>
        </w:rPr>
        <w:t xml:space="preserve"> bem como a variação percentual entre os anos,</w:t>
      </w:r>
      <w:r w:rsidR="00C156C4" w:rsidRPr="00170E1B">
        <w:rPr>
          <w:bCs/>
          <w:sz w:val="22"/>
          <w:szCs w:val="22"/>
        </w:rPr>
        <w:t xml:space="preserve"> encontram-se na Tabela</w:t>
      </w:r>
      <w:r w:rsidR="00C156C4">
        <w:rPr>
          <w:bCs/>
          <w:sz w:val="22"/>
          <w:szCs w:val="22"/>
        </w:rPr>
        <w:t xml:space="preserve"> 1.</w:t>
      </w:r>
    </w:p>
    <w:p w14:paraId="65D8874B" w14:textId="2316EAC6" w:rsidR="008B6E62" w:rsidRDefault="003F150A" w:rsidP="008B6E62">
      <w:pPr>
        <w:tabs>
          <w:tab w:val="left" w:pos="0"/>
        </w:tabs>
        <w:ind w:right="-1"/>
        <w:jc w:val="both"/>
        <w:rPr>
          <w:sz w:val="22"/>
          <w:szCs w:val="22"/>
        </w:rPr>
      </w:pPr>
      <w:r>
        <w:rPr>
          <w:bCs/>
          <w:sz w:val="22"/>
          <w:szCs w:val="22"/>
        </w:rPr>
        <w:tab/>
      </w:r>
      <w:r w:rsidR="008B6E62">
        <w:rPr>
          <w:sz w:val="22"/>
          <w:szCs w:val="22"/>
        </w:rPr>
        <w:t>Para o ano de 2021, a produtividade variou de 6,20 t</w:t>
      </w:r>
      <w:r w:rsidR="008C33CD">
        <w:rPr>
          <w:sz w:val="22"/>
          <w:szCs w:val="22"/>
        </w:rPr>
        <w:t>ha</w:t>
      </w:r>
      <w:r w:rsidR="008C33CD" w:rsidRPr="009D3E17">
        <w:rPr>
          <w:sz w:val="22"/>
          <w:szCs w:val="22"/>
          <w:vertAlign w:val="superscript"/>
        </w:rPr>
        <w:t>-1</w:t>
      </w:r>
      <w:r w:rsidR="008B6E62">
        <w:rPr>
          <w:sz w:val="22"/>
          <w:szCs w:val="22"/>
        </w:rPr>
        <w:t xml:space="preserve"> a 10,99 t</w:t>
      </w:r>
      <w:r w:rsidR="008C33CD">
        <w:rPr>
          <w:sz w:val="22"/>
          <w:szCs w:val="22"/>
        </w:rPr>
        <w:t>ha</w:t>
      </w:r>
      <w:r w:rsidR="008C33CD" w:rsidRPr="009D3E17">
        <w:rPr>
          <w:sz w:val="22"/>
          <w:szCs w:val="22"/>
          <w:vertAlign w:val="superscript"/>
        </w:rPr>
        <w:t>-1</w:t>
      </w:r>
      <w:r w:rsidR="008B6E62">
        <w:rPr>
          <w:sz w:val="22"/>
          <w:szCs w:val="22"/>
        </w:rPr>
        <w:t>, para os clones AGB1 e ZLU, respectivamente, porém não houve diferenças significativas (P&gt;0,05) entre os clones avaliados.</w:t>
      </w:r>
    </w:p>
    <w:p w14:paraId="3ECB3E69" w14:textId="2E81D41B" w:rsidR="008B6E62" w:rsidRDefault="008C33CD" w:rsidP="008B6E62">
      <w:pPr>
        <w:tabs>
          <w:tab w:val="left" w:pos="0"/>
        </w:tabs>
        <w:ind w:right="-1"/>
        <w:jc w:val="both"/>
        <w:rPr>
          <w:sz w:val="22"/>
          <w:szCs w:val="22"/>
        </w:rPr>
      </w:pPr>
      <w:r>
        <w:rPr>
          <w:sz w:val="22"/>
          <w:szCs w:val="22"/>
        </w:rPr>
        <w:tab/>
      </w:r>
      <w:r w:rsidR="008B6E62">
        <w:rPr>
          <w:sz w:val="22"/>
          <w:szCs w:val="22"/>
        </w:rPr>
        <w:t>Por sua vez, no ano de 2022, o clone AGB</w:t>
      </w:r>
      <w:r w:rsidR="00CC22AA">
        <w:rPr>
          <w:sz w:val="22"/>
          <w:szCs w:val="22"/>
        </w:rPr>
        <w:t>10</w:t>
      </w:r>
      <w:r w:rsidR="008B6E62">
        <w:rPr>
          <w:sz w:val="22"/>
          <w:szCs w:val="22"/>
        </w:rPr>
        <w:t xml:space="preserve"> apresentou a menor produtividade (1,14 t</w:t>
      </w:r>
      <w:r>
        <w:rPr>
          <w:sz w:val="22"/>
          <w:szCs w:val="22"/>
        </w:rPr>
        <w:t>ha</w:t>
      </w:r>
      <w:r w:rsidRPr="009D3E17">
        <w:rPr>
          <w:sz w:val="22"/>
          <w:szCs w:val="22"/>
          <w:vertAlign w:val="superscript"/>
        </w:rPr>
        <w:t>-1</w:t>
      </w:r>
      <w:r w:rsidR="008B6E62">
        <w:rPr>
          <w:sz w:val="22"/>
          <w:szCs w:val="22"/>
        </w:rPr>
        <w:t>), diferindo significativamente (P&lt;0,05) apenas do clone AGB1, o qual apresentou a maior produtividade deste ano, de 8,39 t</w:t>
      </w:r>
      <w:r>
        <w:rPr>
          <w:sz w:val="22"/>
          <w:szCs w:val="22"/>
        </w:rPr>
        <w:t>ha</w:t>
      </w:r>
      <w:r w:rsidRPr="009D3E17">
        <w:rPr>
          <w:sz w:val="22"/>
          <w:szCs w:val="22"/>
          <w:vertAlign w:val="superscript"/>
        </w:rPr>
        <w:t>-1</w:t>
      </w:r>
      <w:r w:rsidR="008B6E62">
        <w:rPr>
          <w:sz w:val="22"/>
          <w:szCs w:val="22"/>
        </w:rPr>
        <w:t xml:space="preserve">, porém, não diferindo dos outros dois clones. Pelos valores dos coeficientes de variação, percebe-se que houve uma clara variabilidade entre plantas, provavelmente devido ao fato dos </w:t>
      </w:r>
      <w:r w:rsidR="008B6E62">
        <w:rPr>
          <w:sz w:val="22"/>
          <w:szCs w:val="22"/>
        </w:rPr>
        <w:lastRenderedPageBreak/>
        <w:t xml:space="preserve">porta-enxertos terem sidos oriundos de sementes, expressando-se essa variabilidade genética </w:t>
      </w:r>
      <w:r>
        <w:rPr>
          <w:sz w:val="22"/>
          <w:szCs w:val="22"/>
        </w:rPr>
        <w:t xml:space="preserve">por </w:t>
      </w:r>
      <w:proofErr w:type="gramStart"/>
      <w:r>
        <w:rPr>
          <w:sz w:val="22"/>
          <w:szCs w:val="22"/>
        </w:rPr>
        <w:t xml:space="preserve">meio </w:t>
      </w:r>
      <w:r w:rsidR="008B6E62">
        <w:rPr>
          <w:sz w:val="22"/>
          <w:szCs w:val="22"/>
        </w:rPr>
        <w:t xml:space="preserve"> das</w:t>
      </w:r>
      <w:proofErr w:type="gramEnd"/>
      <w:r w:rsidR="008B6E62">
        <w:rPr>
          <w:sz w:val="22"/>
          <w:szCs w:val="22"/>
        </w:rPr>
        <w:t xml:space="preserve"> interações enxerto/porta-enxerto.</w:t>
      </w:r>
    </w:p>
    <w:p w14:paraId="162606C8" w14:textId="21202FFA" w:rsidR="008B6E62" w:rsidRDefault="008B6E62" w:rsidP="008B6E62">
      <w:pPr>
        <w:tabs>
          <w:tab w:val="left" w:pos="0"/>
        </w:tabs>
        <w:ind w:right="-1"/>
        <w:jc w:val="both"/>
        <w:rPr>
          <w:sz w:val="22"/>
          <w:szCs w:val="22"/>
        </w:rPr>
      </w:pPr>
      <w:r>
        <w:rPr>
          <w:sz w:val="22"/>
          <w:szCs w:val="22"/>
        </w:rPr>
        <w:tab/>
        <w:t>Observa-se, ainda, que pela análise dos dados de variação percentual entre os anos, os clones AGB</w:t>
      </w:r>
      <w:r w:rsidR="00E6103D">
        <w:rPr>
          <w:sz w:val="22"/>
          <w:szCs w:val="22"/>
        </w:rPr>
        <w:t>10</w:t>
      </w:r>
      <w:r>
        <w:rPr>
          <w:sz w:val="22"/>
          <w:szCs w:val="22"/>
        </w:rPr>
        <w:t>, ZLU e AGB</w:t>
      </w:r>
      <w:r w:rsidR="00E6103D">
        <w:rPr>
          <w:sz w:val="22"/>
          <w:szCs w:val="22"/>
        </w:rPr>
        <w:t>2</w:t>
      </w:r>
      <w:r>
        <w:rPr>
          <w:sz w:val="22"/>
          <w:szCs w:val="22"/>
        </w:rPr>
        <w:t xml:space="preserve"> apresentaram reduções de produtividade de 88,97%, 65,24% e 48,0</w:t>
      </w:r>
      <w:r w:rsidR="00E6103D">
        <w:rPr>
          <w:sz w:val="22"/>
          <w:szCs w:val="22"/>
        </w:rPr>
        <w:t>5</w:t>
      </w:r>
      <w:r>
        <w:rPr>
          <w:sz w:val="22"/>
          <w:szCs w:val="22"/>
        </w:rPr>
        <w:t>%, respectivamente, denotando uma acentuada alternância de produção. SOUZA et al., 2012, avaliando cinco clones de cajazeiras no estado do Ceará até aos sete anos de idade, também relataram uma alta variabilidade entre as plantas e também uma maior alternância de produção, fenômeno comum em fruteiras.</w:t>
      </w:r>
    </w:p>
    <w:p w14:paraId="4BDEE8D1" w14:textId="77777777" w:rsidR="00EB2C09" w:rsidRDefault="00EB2C09" w:rsidP="00E676AD"/>
    <w:p w14:paraId="419682AD" w14:textId="6ADD3D98" w:rsidR="00D767C4" w:rsidRPr="00BC0E0B" w:rsidRDefault="00E676AD" w:rsidP="00114EE2">
      <w:pPr>
        <w:ind w:left="993" w:hanging="993"/>
        <w:jc w:val="both"/>
      </w:pPr>
      <w:r w:rsidRPr="00847984">
        <w:rPr>
          <w:sz w:val="22"/>
          <w:szCs w:val="22"/>
        </w:rPr>
        <w:t>Tabela 1</w:t>
      </w:r>
      <w:r w:rsidRPr="00BC0E0B">
        <w:t xml:space="preserve"> – </w:t>
      </w:r>
      <w:r w:rsidR="000D2364">
        <w:rPr>
          <w:bCs/>
          <w:sz w:val="22"/>
          <w:szCs w:val="22"/>
        </w:rPr>
        <w:t>V</w:t>
      </w:r>
      <w:r w:rsidR="000D2364" w:rsidRPr="00170E1B">
        <w:rPr>
          <w:bCs/>
          <w:sz w:val="22"/>
          <w:szCs w:val="22"/>
        </w:rPr>
        <w:t>alores médios e desvio</w:t>
      </w:r>
      <w:r w:rsidR="000D2364">
        <w:rPr>
          <w:bCs/>
          <w:sz w:val="22"/>
          <w:szCs w:val="22"/>
        </w:rPr>
        <w:t>s</w:t>
      </w:r>
      <w:r w:rsidR="000D2364" w:rsidRPr="00170E1B">
        <w:rPr>
          <w:bCs/>
          <w:sz w:val="22"/>
          <w:szCs w:val="22"/>
        </w:rPr>
        <w:t xml:space="preserve"> </w:t>
      </w:r>
      <w:r w:rsidR="00E6103D" w:rsidRPr="00170E1B">
        <w:rPr>
          <w:bCs/>
          <w:sz w:val="22"/>
          <w:szCs w:val="22"/>
        </w:rPr>
        <w:t>padr</w:t>
      </w:r>
      <w:r w:rsidR="00E6103D">
        <w:rPr>
          <w:bCs/>
          <w:sz w:val="22"/>
          <w:szCs w:val="22"/>
        </w:rPr>
        <w:t>ões</w:t>
      </w:r>
      <w:r w:rsidR="00E6103D" w:rsidRPr="00170E1B">
        <w:rPr>
          <w:bCs/>
          <w:sz w:val="22"/>
          <w:szCs w:val="22"/>
        </w:rPr>
        <w:t xml:space="preserve"> </w:t>
      </w:r>
      <w:r w:rsidR="000D2364" w:rsidRPr="00170E1B">
        <w:rPr>
          <w:bCs/>
          <w:sz w:val="22"/>
          <w:szCs w:val="22"/>
        </w:rPr>
        <w:t xml:space="preserve">de </w:t>
      </w:r>
      <w:r w:rsidR="00E47A45">
        <w:rPr>
          <w:bCs/>
          <w:sz w:val="22"/>
          <w:szCs w:val="22"/>
        </w:rPr>
        <w:t xml:space="preserve">produtividade </w:t>
      </w:r>
      <w:r w:rsidR="00CA02CB">
        <w:rPr>
          <w:bCs/>
          <w:sz w:val="22"/>
          <w:szCs w:val="22"/>
        </w:rPr>
        <w:t xml:space="preserve">de frutos </w:t>
      </w:r>
      <w:r w:rsidR="00E47A45">
        <w:rPr>
          <w:bCs/>
          <w:sz w:val="22"/>
          <w:szCs w:val="22"/>
        </w:rPr>
        <w:t>de quatro clones</w:t>
      </w:r>
      <w:r w:rsidR="000D2364" w:rsidRPr="00170E1B">
        <w:rPr>
          <w:bCs/>
          <w:sz w:val="22"/>
          <w:szCs w:val="22"/>
        </w:rPr>
        <w:t xml:space="preserve"> d</w:t>
      </w:r>
      <w:r w:rsidR="000D2364">
        <w:rPr>
          <w:bCs/>
          <w:sz w:val="22"/>
          <w:szCs w:val="22"/>
        </w:rPr>
        <w:t>e</w:t>
      </w:r>
      <w:r w:rsidR="000D2364" w:rsidRPr="00170E1B">
        <w:rPr>
          <w:bCs/>
          <w:sz w:val="22"/>
          <w:szCs w:val="22"/>
        </w:rPr>
        <w:t xml:space="preserve"> cajazeiras</w:t>
      </w:r>
      <w:r w:rsidR="001F0565">
        <w:rPr>
          <w:bCs/>
          <w:sz w:val="22"/>
          <w:szCs w:val="22"/>
        </w:rPr>
        <w:t xml:space="preserve"> </w:t>
      </w:r>
      <w:r w:rsidR="000D2364" w:rsidRPr="00170E1B">
        <w:rPr>
          <w:bCs/>
          <w:sz w:val="22"/>
          <w:szCs w:val="22"/>
        </w:rPr>
        <w:t>conduzida</w:t>
      </w:r>
      <w:r w:rsidR="001F0565">
        <w:rPr>
          <w:bCs/>
          <w:sz w:val="22"/>
          <w:szCs w:val="22"/>
        </w:rPr>
        <w:t>s</w:t>
      </w:r>
      <w:r w:rsidR="000D2364" w:rsidRPr="00170E1B">
        <w:rPr>
          <w:bCs/>
          <w:sz w:val="22"/>
          <w:szCs w:val="22"/>
        </w:rPr>
        <w:t xml:space="preserve"> sob </w:t>
      </w:r>
      <w:r w:rsidR="00D767C4">
        <w:rPr>
          <w:bCs/>
          <w:sz w:val="22"/>
          <w:szCs w:val="22"/>
        </w:rPr>
        <w:t>sequeiro no município de</w:t>
      </w:r>
      <w:r w:rsidR="001F0565">
        <w:rPr>
          <w:bCs/>
          <w:sz w:val="22"/>
          <w:szCs w:val="22"/>
        </w:rPr>
        <w:t xml:space="preserve"> </w:t>
      </w:r>
      <w:r w:rsidR="00D767C4">
        <w:rPr>
          <w:bCs/>
          <w:sz w:val="22"/>
          <w:szCs w:val="22"/>
        </w:rPr>
        <w:t>Água Branca</w:t>
      </w:r>
      <w:r w:rsidR="001F0565">
        <w:rPr>
          <w:bCs/>
          <w:sz w:val="22"/>
          <w:szCs w:val="22"/>
        </w:rPr>
        <w:t>-</w:t>
      </w:r>
      <w:r w:rsidR="00D767C4">
        <w:rPr>
          <w:bCs/>
          <w:sz w:val="22"/>
          <w:szCs w:val="22"/>
        </w:rPr>
        <w:t>PI</w:t>
      </w:r>
      <w:r w:rsidR="001F0565">
        <w:rPr>
          <w:bCs/>
          <w:sz w:val="22"/>
          <w:szCs w:val="22"/>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814"/>
        <w:gridCol w:w="2168"/>
        <w:gridCol w:w="2215"/>
        <w:gridCol w:w="2874"/>
      </w:tblGrid>
      <w:tr w:rsidR="00847984" w:rsidRPr="00E47A45" w14:paraId="16441825" w14:textId="77777777" w:rsidTr="00847984">
        <w:trPr>
          <w:trHeight w:val="336"/>
        </w:trPr>
        <w:tc>
          <w:tcPr>
            <w:tcW w:w="1000" w:type="pct"/>
            <w:vMerge w:val="restart"/>
            <w:tcBorders>
              <w:top w:val="single" w:sz="4" w:space="0" w:color="auto"/>
              <w:bottom w:val="single" w:sz="4" w:space="0" w:color="auto"/>
            </w:tcBorders>
            <w:shd w:val="clear" w:color="auto" w:fill="auto"/>
            <w:vAlign w:val="center"/>
          </w:tcPr>
          <w:p w14:paraId="461FFE24" w14:textId="77777777" w:rsidR="00847984" w:rsidRPr="00E47A45" w:rsidRDefault="00847984" w:rsidP="00165C51">
            <w:pPr>
              <w:jc w:val="center"/>
              <w:rPr>
                <w:sz w:val="22"/>
                <w:szCs w:val="22"/>
              </w:rPr>
            </w:pPr>
            <w:r>
              <w:rPr>
                <w:sz w:val="22"/>
                <w:szCs w:val="22"/>
              </w:rPr>
              <w:t>Clone</w:t>
            </w:r>
            <w:r w:rsidRPr="00E47A45">
              <w:rPr>
                <w:sz w:val="22"/>
                <w:szCs w:val="22"/>
              </w:rPr>
              <w:t>s*</w:t>
            </w:r>
          </w:p>
        </w:tc>
        <w:tc>
          <w:tcPr>
            <w:tcW w:w="2416" w:type="pct"/>
            <w:gridSpan w:val="2"/>
            <w:tcBorders>
              <w:top w:val="single" w:sz="4" w:space="0" w:color="auto"/>
              <w:bottom w:val="single" w:sz="4" w:space="0" w:color="auto"/>
            </w:tcBorders>
            <w:shd w:val="clear" w:color="auto" w:fill="auto"/>
          </w:tcPr>
          <w:p w14:paraId="54657601" w14:textId="4490DDC4" w:rsidR="00847984" w:rsidRPr="00E47A45" w:rsidRDefault="00847984" w:rsidP="00165C51">
            <w:pPr>
              <w:jc w:val="center"/>
              <w:rPr>
                <w:sz w:val="22"/>
                <w:szCs w:val="22"/>
              </w:rPr>
            </w:pPr>
            <w:r w:rsidRPr="00E47A45">
              <w:rPr>
                <w:sz w:val="22"/>
                <w:szCs w:val="22"/>
              </w:rPr>
              <w:t>Produtividade (t</w:t>
            </w:r>
            <w:r w:rsidR="008C33CD">
              <w:rPr>
                <w:sz w:val="22"/>
                <w:szCs w:val="22"/>
              </w:rPr>
              <w:t>ha</w:t>
            </w:r>
            <w:r w:rsidR="008C33CD" w:rsidRPr="009D3E17">
              <w:rPr>
                <w:sz w:val="22"/>
                <w:szCs w:val="22"/>
                <w:vertAlign w:val="superscript"/>
              </w:rPr>
              <w:t>-1</w:t>
            </w:r>
            <w:r w:rsidRPr="00E47A45">
              <w:rPr>
                <w:sz w:val="22"/>
                <w:szCs w:val="22"/>
              </w:rPr>
              <w:t>)</w:t>
            </w:r>
          </w:p>
        </w:tc>
        <w:tc>
          <w:tcPr>
            <w:tcW w:w="1584" w:type="pct"/>
            <w:vMerge w:val="restart"/>
            <w:tcBorders>
              <w:top w:val="single" w:sz="4" w:space="0" w:color="auto"/>
            </w:tcBorders>
            <w:shd w:val="clear" w:color="auto" w:fill="auto"/>
            <w:vAlign w:val="center"/>
          </w:tcPr>
          <w:p w14:paraId="536CF6C7" w14:textId="77777777" w:rsidR="00847984" w:rsidRPr="00E47A45" w:rsidRDefault="00847984" w:rsidP="00165C51">
            <w:pPr>
              <w:jc w:val="center"/>
              <w:rPr>
                <w:sz w:val="22"/>
                <w:szCs w:val="22"/>
              </w:rPr>
            </w:pPr>
            <w:r>
              <w:rPr>
                <w:sz w:val="22"/>
                <w:szCs w:val="22"/>
              </w:rPr>
              <w:t>Variação Entre Anos (%)</w:t>
            </w:r>
          </w:p>
        </w:tc>
      </w:tr>
      <w:tr w:rsidR="00847984" w:rsidRPr="00E47A45" w14:paraId="59992DFC" w14:textId="77777777" w:rsidTr="00847984">
        <w:tc>
          <w:tcPr>
            <w:tcW w:w="1000" w:type="pct"/>
            <w:vMerge/>
            <w:tcBorders>
              <w:top w:val="single" w:sz="4" w:space="0" w:color="auto"/>
              <w:bottom w:val="single" w:sz="4" w:space="0" w:color="auto"/>
            </w:tcBorders>
            <w:shd w:val="clear" w:color="auto" w:fill="auto"/>
          </w:tcPr>
          <w:p w14:paraId="4D5F13D7" w14:textId="77777777" w:rsidR="00847984" w:rsidRPr="00E47A45" w:rsidRDefault="00847984" w:rsidP="00165C51">
            <w:pPr>
              <w:jc w:val="center"/>
              <w:rPr>
                <w:sz w:val="22"/>
                <w:szCs w:val="22"/>
              </w:rPr>
            </w:pPr>
          </w:p>
        </w:tc>
        <w:tc>
          <w:tcPr>
            <w:tcW w:w="1195" w:type="pct"/>
            <w:tcBorders>
              <w:top w:val="single" w:sz="4" w:space="0" w:color="auto"/>
              <w:bottom w:val="single" w:sz="4" w:space="0" w:color="auto"/>
            </w:tcBorders>
            <w:shd w:val="clear" w:color="auto" w:fill="auto"/>
          </w:tcPr>
          <w:p w14:paraId="5388F51F" w14:textId="77777777" w:rsidR="00847984" w:rsidRPr="00E47A45" w:rsidRDefault="00847984" w:rsidP="00165C51">
            <w:pPr>
              <w:jc w:val="center"/>
              <w:rPr>
                <w:sz w:val="22"/>
                <w:szCs w:val="22"/>
              </w:rPr>
            </w:pPr>
            <w:r w:rsidRPr="00E47A45">
              <w:rPr>
                <w:sz w:val="22"/>
                <w:szCs w:val="22"/>
              </w:rPr>
              <w:t>2021</w:t>
            </w:r>
          </w:p>
        </w:tc>
        <w:tc>
          <w:tcPr>
            <w:tcW w:w="1221" w:type="pct"/>
            <w:tcBorders>
              <w:top w:val="single" w:sz="4" w:space="0" w:color="auto"/>
              <w:bottom w:val="single" w:sz="4" w:space="0" w:color="auto"/>
            </w:tcBorders>
            <w:shd w:val="clear" w:color="auto" w:fill="auto"/>
          </w:tcPr>
          <w:p w14:paraId="4830942E" w14:textId="77777777" w:rsidR="00847984" w:rsidRPr="00E47A45" w:rsidRDefault="00847984" w:rsidP="00165C51">
            <w:pPr>
              <w:jc w:val="center"/>
              <w:rPr>
                <w:sz w:val="22"/>
                <w:szCs w:val="22"/>
              </w:rPr>
            </w:pPr>
            <w:r w:rsidRPr="00E47A45">
              <w:rPr>
                <w:sz w:val="22"/>
                <w:szCs w:val="22"/>
              </w:rPr>
              <w:t>2022</w:t>
            </w:r>
          </w:p>
        </w:tc>
        <w:tc>
          <w:tcPr>
            <w:tcW w:w="1584" w:type="pct"/>
            <w:vMerge/>
            <w:tcBorders>
              <w:bottom w:val="single" w:sz="4" w:space="0" w:color="auto"/>
            </w:tcBorders>
            <w:shd w:val="clear" w:color="auto" w:fill="auto"/>
          </w:tcPr>
          <w:p w14:paraId="0AB19476" w14:textId="77777777" w:rsidR="00847984" w:rsidRPr="00E47A45" w:rsidRDefault="00847984" w:rsidP="00165C51">
            <w:pPr>
              <w:jc w:val="center"/>
              <w:rPr>
                <w:sz w:val="22"/>
                <w:szCs w:val="22"/>
              </w:rPr>
            </w:pPr>
          </w:p>
        </w:tc>
      </w:tr>
      <w:tr w:rsidR="00847984" w:rsidRPr="00E47A45" w14:paraId="08DBBCEF" w14:textId="77777777" w:rsidTr="00847984">
        <w:tc>
          <w:tcPr>
            <w:tcW w:w="1000" w:type="pct"/>
            <w:tcBorders>
              <w:top w:val="single" w:sz="4" w:space="0" w:color="auto"/>
            </w:tcBorders>
            <w:shd w:val="clear" w:color="auto" w:fill="auto"/>
          </w:tcPr>
          <w:p w14:paraId="64860273" w14:textId="77777777" w:rsidR="00847984" w:rsidRPr="00E47A45" w:rsidRDefault="00847984" w:rsidP="00A36730">
            <w:pPr>
              <w:jc w:val="center"/>
              <w:rPr>
                <w:sz w:val="22"/>
                <w:szCs w:val="22"/>
              </w:rPr>
            </w:pPr>
            <w:r w:rsidRPr="00E47A45">
              <w:rPr>
                <w:sz w:val="22"/>
                <w:szCs w:val="22"/>
              </w:rPr>
              <w:t>AGB1</w:t>
            </w:r>
          </w:p>
        </w:tc>
        <w:tc>
          <w:tcPr>
            <w:tcW w:w="1195" w:type="pct"/>
            <w:tcBorders>
              <w:top w:val="single" w:sz="4" w:space="0" w:color="auto"/>
            </w:tcBorders>
            <w:shd w:val="clear" w:color="auto" w:fill="auto"/>
          </w:tcPr>
          <w:p w14:paraId="0418D0D2" w14:textId="77777777" w:rsidR="00847984" w:rsidRPr="00E47A45" w:rsidRDefault="00847984" w:rsidP="00CA419A">
            <w:pPr>
              <w:spacing w:after="160" w:line="259" w:lineRule="auto"/>
              <w:jc w:val="center"/>
              <w:rPr>
                <w:sz w:val="22"/>
                <w:szCs w:val="22"/>
              </w:rPr>
            </w:pPr>
            <w:r w:rsidRPr="00E47A45">
              <w:rPr>
                <w:sz w:val="22"/>
                <w:szCs w:val="22"/>
              </w:rPr>
              <w:t>6,20 (±2,60) A</w:t>
            </w:r>
          </w:p>
        </w:tc>
        <w:tc>
          <w:tcPr>
            <w:tcW w:w="1221" w:type="pct"/>
            <w:tcBorders>
              <w:top w:val="single" w:sz="4" w:space="0" w:color="auto"/>
            </w:tcBorders>
            <w:shd w:val="clear" w:color="auto" w:fill="auto"/>
          </w:tcPr>
          <w:p w14:paraId="470FB000" w14:textId="77777777" w:rsidR="00847984" w:rsidRPr="00E47A45" w:rsidRDefault="00847984" w:rsidP="00CA419A">
            <w:pPr>
              <w:spacing w:after="160" w:line="259" w:lineRule="auto"/>
              <w:jc w:val="center"/>
              <w:rPr>
                <w:sz w:val="22"/>
                <w:szCs w:val="22"/>
              </w:rPr>
            </w:pPr>
            <w:r w:rsidRPr="00E47A45">
              <w:rPr>
                <w:sz w:val="22"/>
                <w:szCs w:val="22"/>
              </w:rPr>
              <w:t>8,39 (±3,08) A</w:t>
            </w:r>
          </w:p>
        </w:tc>
        <w:tc>
          <w:tcPr>
            <w:tcW w:w="1584" w:type="pct"/>
            <w:tcBorders>
              <w:top w:val="single" w:sz="4" w:space="0" w:color="auto"/>
            </w:tcBorders>
            <w:shd w:val="clear" w:color="auto" w:fill="auto"/>
          </w:tcPr>
          <w:p w14:paraId="3FDFD42E" w14:textId="77777777" w:rsidR="00847984" w:rsidRDefault="00847984">
            <w:pPr>
              <w:jc w:val="center"/>
              <w:rPr>
                <w:rFonts w:ascii="Calibri" w:hAnsi="Calibri"/>
                <w:color w:val="000000"/>
                <w:sz w:val="22"/>
                <w:szCs w:val="22"/>
              </w:rPr>
            </w:pPr>
            <w:r>
              <w:rPr>
                <w:sz w:val="22"/>
                <w:szCs w:val="22"/>
              </w:rPr>
              <w:t>+35,41</w:t>
            </w:r>
          </w:p>
        </w:tc>
      </w:tr>
      <w:tr w:rsidR="00745BE1" w:rsidRPr="00E47A45" w14:paraId="231BD757" w14:textId="77777777" w:rsidTr="000341F9">
        <w:tc>
          <w:tcPr>
            <w:tcW w:w="1000" w:type="pct"/>
            <w:shd w:val="clear" w:color="auto" w:fill="auto"/>
          </w:tcPr>
          <w:p w14:paraId="70EBD697" w14:textId="77777777" w:rsidR="00745BE1" w:rsidRPr="00E47A45" w:rsidRDefault="00745BE1" w:rsidP="000341F9">
            <w:pPr>
              <w:jc w:val="center"/>
              <w:rPr>
                <w:sz w:val="22"/>
                <w:szCs w:val="22"/>
              </w:rPr>
            </w:pPr>
            <w:r w:rsidRPr="00E47A45">
              <w:rPr>
                <w:sz w:val="22"/>
                <w:szCs w:val="22"/>
              </w:rPr>
              <w:t>AGB</w:t>
            </w:r>
            <w:r>
              <w:rPr>
                <w:sz w:val="22"/>
                <w:szCs w:val="22"/>
              </w:rPr>
              <w:t>2</w:t>
            </w:r>
          </w:p>
        </w:tc>
        <w:tc>
          <w:tcPr>
            <w:tcW w:w="1195" w:type="pct"/>
            <w:shd w:val="clear" w:color="auto" w:fill="auto"/>
          </w:tcPr>
          <w:p w14:paraId="229460C9" w14:textId="77777777" w:rsidR="00745BE1" w:rsidRPr="00E47A45" w:rsidRDefault="00745BE1" w:rsidP="000341F9">
            <w:pPr>
              <w:spacing w:after="160" w:line="259" w:lineRule="auto"/>
              <w:jc w:val="center"/>
              <w:rPr>
                <w:sz w:val="22"/>
                <w:szCs w:val="22"/>
              </w:rPr>
            </w:pPr>
            <w:r w:rsidRPr="00E47A45">
              <w:rPr>
                <w:sz w:val="22"/>
                <w:szCs w:val="22"/>
              </w:rPr>
              <w:t>9,74 (±7,40) A</w:t>
            </w:r>
          </w:p>
        </w:tc>
        <w:tc>
          <w:tcPr>
            <w:tcW w:w="1221" w:type="pct"/>
            <w:shd w:val="clear" w:color="auto" w:fill="auto"/>
          </w:tcPr>
          <w:p w14:paraId="3151B14C" w14:textId="77777777" w:rsidR="00745BE1" w:rsidRPr="00E47A45" w:rsidRDefault="00745BE1" w:rsidP="000341F9">
            <w:pPr>
              <w:spacing w:after="160" w:line="259" w:lineRule="auto"/>
              <w:jc w:val="center"/>
              <w:rPr>
                <w:sz w:val="22"/>
                <w:szCs w:val="22"/>
              </w:rPr>
            </w:pPr>
            <w:r w:rsidRPr="00E47A45">
              <w:rPr>
                <w:sz w:val="22"/>
                <w:szCs w:val="22"/>
              </w:rPr>
              <w:t>5,06 (±5,66) AB</w:t>
            </w:r>
          </w:p>
        </w:tc>
        <w:tc>
          <w:tcPr>
            <w:tcW w:w="1584" w:type="pct"/>
            <w:shd w:val="clear" w:color="auto" w:fill="auto"/>
          </w:tcPr>
          <w:p w14:paraId="260B85E1" w14:textId="04987143" w:rsidR="00745BE1" w:rsidRDefault="00745BE1" w:rsidP="000341F9">
            <w:pPr>
              <w:jc w:val="center"/>
              <w:rPr>
                <w:rFonts w:ascii="Calibri" w:hAnsi="Calibri"/>
                <w:color w:val="000000"/>
                <w:sz w:val="22"/>
                <w:szCs w:val="22"/>
              </w:rPr>
            </w:pPr>
            <w:r>
              <w:rPr>
                <w:sz w:val="22"/>
                <w:szCs w:val="22"/>
              </w:rPr>
              <w:t>-</w:t>
            </w:r>
            <w:r w:rsidR="00E6103D">
              <w:rPr>
                <w:sz w:val="22"/>
                <w:szCs w:val="22"/>
              </w:rPr>
              <w:t xml:space="preserve"> -48,05</w:t>
            </w:r>
          </w:p>
        </w:tc>
      </w:tr>
      <w:tr w:rsidR="00847984" w:rsidRPr="00E47A45" w14:paraId="6F849DF1" w14:textId="77777777" w:rsidTr="00847984">
        <w:tc>
          <w:tcPr>
            <w:tcW w:w="1000" w:type="pct"/>
            <w:shd w:val="clear" w:color="auto" w:fill="auto"/>
          </w:tcPr>
          <w:p w14:paraId="7E20ECD5" w14:textId="77777777" w:rsidR="00847984" w:rsidRPr="00E47A45" w:rsidRDefault="00847984" w:rsidP="00745BE1">
            <w:pPr>
              <w:jc w:val="center"/>
              <w:rPr>
                <w:sz w:val="22"/>
                <w:szCs w:val="22"/>
              </w:rPr>
            </w:pPr>
            <w:r w:rsidRPr="00E47A45">
              <w:rPr>
                <w:sz w:val="22"/>
                <w:szCs w:val="22"/>
              </w:rPr>
              <w:t>AGB</w:t>
            </w:r>
            <w:r w:rsidR="00745BE1">
              <w:rPr>
                <w:sz w:val="22"/>
                <w:szCs w:val="22"/>
              </w:rPr>
              <w:t>10</w:t>
            </w:r>
          </w:p>
        </w:tc>
        <w:tc>
          <w:tcPr>
            <w:tcW w:w="1195" w:type="pct"/>
            <w:shd w:val="clear" w:color="auto" w:fill="auto"/>
          </w:tcPr>
          <w:p w14:paraId="502AAB7A" w14:textId="77777777" w:rsidR="00847984" w:rsidRPr="00E47A45" w:rsidRDefault="00847984" w:rsidP="00CA419A">
            <w:pPr>
              <w:spacing w:after="160" w:line="259" w:lineRule="auto"/>
              <w:jc w:val="center"/>
              <w:rPr>
                <w:sz w:val="22"/>
                <w:szCs w:val="22"/>
              </w:rPr>
            </w:pPr>
            <w:r w:rsidRPr="00E47A45">
              <w:rPr>
                <w:sz w:val="22"/>
                <w:szCs w:val="22"/>
              </w:rPr>
              <w:t>10,34 (±3,43) A</w:t>
            </w:r>
          </w:p>
        </w:tc>
        <w:tc>
          <w:tcPr>
            <w:tcW w:w="1221" w:type="pct"/>
            <w:shd w:val="clear" w:color="auto" w:fill="auto"/>
          </w:tcPr>
          <w:p w14:paraId="10014A27" w14:textId="77777777" w:rsidR="00847984" w:rsidRPr="00E47A45" w:rsidRDefault="00847984" w:rsidP="00CA419A">
            <w:pPr>
              <w:spacing w:after="160" w:line="259" w:lineRule="auto"/>
              <w:jc w:val="center"/>
              <w:rPr>
                <w:sz w:val="22"/>
                <w:szCs w:val="22"/>
              </w:rPr>
            </w:pPr>
            <w:r w:rsidRPr="00E47A45">
              <w:rPr>
                <w:sz w:val="22"/>
                <w:szCs w:val="22"/>
              </w:rPr>
              <w:t>1,14 (±1,25) B</w:t>
            </w:r>
          </w:p>
        </w:tc>
        <w:tc>
          <w:tcPr>
            <w:tcW w:w="1584" w:type="pct"/>
            <w:shd w:val="clear" w:color="auto" w:fill="auto"/>
          </w:tcPr>
          <w:p w14:paraId="1C86840D" w14:textId="673DCEA3" w:rsidR="00847984" w:rsidRDefault="00E6103D">
            <w:pPr>
              <w:jc w:val="center"/>
              <w:rPr>
                <w:rFonts w:ascii="Calibri" w:hAnsi="Calibri"/>
                <w:color w:val="000000"/>
                <w:sz w:val="22"/>
                <w:szCs w:val="22"/>
              </w:rPr>
            </w:pPr>
            <w:r>
              <w:rPr>
                <w:sz w:val="22"/>
                <w:szCs w:val="22"/>
              </w:rPr>
              <w:t xml:space="preserve"> -88,97</w:t>
            </w:r>
          </w:p>
        </w:tc>
      </w:tr>
      <w:tr w:rsidR="00847984" w:rsidRPr="00E47A45" w14:paraId="61FF3B8A" w14:textId="77777777" w:rsidTr="00847984">
        <w:tc>
          <w:tcPr>
            <w:tcW w:w="1000" w:type="pct"/>
            <w:shd w:val="clear" w:color="auto" w:fill="auto"/>
          </w:tcPr>
          <w:p w14:paraId="4DAC21BB" w14:textId="77777777" w:rsidR="00847984" w:rsidRPr="00E47A45" w:rsidRDefault="00847984" w:rsidP="00A36730">
            <w:pPr>
              <w:jc w:val="center"/>
              <w:rPr>
                <w:sz w:val="22"/>
                <w:szCs w:val="22"/>
              </w:rPr>
            </w:pPr>
            <w:r w:rsidRPr="00E47A45">
              <w:rPr>
                <w:sz w:val="22"/>
                <w:szCs w:val="22"/>
              </w:rPr>
              <w:t>ZLU</w:t>
            </w:r>
          </w:p>
        </w:tc>
        <w:tc>
          <w:tcPr>
            <w:tcW w:w="1195" w:type="pct"/>
            <w:shd w:val="clear" w:color="auto" w:fill="auto"/>
          </w:tcPr>
          <w:p w14:paraId="5F96F473" w14:textId="77777777" w:rsidR="00847984" w:rsidRPr="00E47A45" w:rsidRDefault="00847984" w:rsidP="00CA419A">
            <w:pPr>
              <w:spacing w:after="160" w:line="259" w:lineRule="auto"/>
              <w:jc w:val="center"/>
              <w:rPr>
                <w:sz w:val="22"/>
                <w:szCs w:val="22"/>
              </w:rPr>
            </w:pPr>
            <w:r w:rsidRPr="00E47A45">
              <w:rPr>
                <w:sz w:val="22"/>
                <w:szCs w:val="22"/>
              </w:rPr>
              <w:t>10,99 (±5,60) A</w:t>
            </w:r>
          </w:p>
        </w:tc>
        <w:tc>
          <w:tcPr>
            <w:tcW w:w="1221" w:type="pct"/>
            <w:shd w:val="clear" w:color="auto" w:fill="auto"/>
          </w:tcPr>
          <w:p w14:paraId="3D2CC0BC" w14:textId="77777777" w:rsidR="00847984" w:rsidRPr="00E47A45" w:rsidRDefault="00847984" w:rsidP="00CA419A">
            <w:pPr>
              <w:spacing w:after="160" w:line="259" w:lineRule="auto"/>
              <w:jc w:val="center"/>
              <w:rPr>
                <w:sz w:val="22"/>
                <w:szCs w:val="22"/>
              </w:rPr>
            </w:pPr>
            <w:r w:rsidRPr="00E47A45">
              <w:rPr>
                <w:sz w:val="22"/>
                <w:szCs w:val="22"/>
              </w:rPr>
              <w:t>3,82 (±3,64) AB</w:t>
            </w:r>
          </w:p>
        </w:tc>
        <w:tc>
          <w:tcPr>
            <w:tcW w:w="1584" w:type="pct"/>
            <w:shd w:val="clear" w:color="auto" w:fill="auto"/>
          </w:tcPr>
          <w:p w14:paraId="78EAC7C8" w14:textId="77777777" w:rsidR="00847984" w:rsidRDefault="00847984">
            <w:pPr>
              <w:jc w:val="center"/>
              <w:rPr>
                <w:rFonts w:ascii="Calibri" w:hAnsi="Calibri"/>
                <w:color w:val="000000"/>
                <w:sz w:val="22"/>
                <w:szCs w:val="22"/>
              </w:rPr>
            </w:pPr>
            <w:r>
              <w:rPr>
                <w:sz w:val="22"/>
                <w:szCs w:val="22"/>
              </w:rPr>
              <w:t>-65,24</w:t>
            </w:r>
          </w:p>
        </w:tc>
      </w:tr>
      <w:tr w:rsidR="00847984" w:rsidRPr="00E47A45" w14:paraId="23B45510" w14:textId="77777777" w:rsidTr="00847984">
        <w:tc>
          <w:tcPr>
            <w:tcW w:w="1000" w:type="pct"/>
            <w:tcBorders>
              <w:top w:val="single" w:sz="4" w:space="0" w:color="auto"/>
              <w:bottom w:val="single" w:sz="4" w:space="0" w:color="auto"/>
            </w:tcBorders>
            <w:shd w:val="clear" w:color="auto" w:fill="auto"/>
          </w:tcPr>
          <w:p w14:paraId="179C0EF4" w14:textId="77777777" w:rsidR="00847984" w:rsidRPr="00E47A45" w:rsidRDefault="00847984" w:rsidP="00165C51">
            <w:pPr>
              <w:jc w:val="center"/>
              <w:rPr>
                <w:sz w:val="22"/>
                <w:szCs w:val="22"/>
              </w:rPr>
            </w:pPr>
            <w:r w:rsidRPr="00E47A45">
              <w:rPr>
                <w:sz w:val="22"/>
                <w:szCs w:val="22"/>
              </w:rPr>
              <w:t>CV (%)</w:t>
            </w:r>
          </w:p>
        </w:tc>
        <w:tc>
          <w:tcPr>
            <w:tcW w:w="1195" w:type="pct"/>
            <w:tcBorders>
              <w:top w:val="single" w:sz="4" w:space="0" w:color="auto"/>
              <w:bottom w:val="single" w:sz="4" w:space="0" w:color="auto"/>
            </w:tcBorders>
            <w:shd w:val="clear" w:color="auto" w:fill="auto"/>
          </w:tcPr>
          <w:p w14:paraId="58F656BE" w14:textId="77777777" w:rsidR="00847984" w:rsidRPr="00E47A45" w:rsidRDefault="00847984" w:rsidP="00CA419A">
            <w:pPr>
              <w:spacing w:after="160" w:line="259" w:lineRule="auto"/>
              <w:jc w:val="center"/>
              <w:rPr>
                <w:sz w:val="22"/>
                <w:szCs w:val="22"/>
              </w:rPr>
            </w:pPr>
            <w:r w:rsidRPr="00E47A45">
              <w:rPr>
                <w:sz w:val="22"/>
                <w:szCs w:val="22"/>
              </w:rPr>
              <w:t>42,81</w:t>
            </w:r>
          </w:p>
        </w:tc>
        <w:tc>
          <w:tcPr>
            <w:tcW w:w="1221" w:type="pct"/>
            <w:tcBorders>
              <w:top w:val="single" w:sz="4" w:space="0" w:color="auto"/>
              <w:bottom w:val="single" w:sz="4" w:space="0" w:color="auto"/>
            </w:tcBorders>
            <w:shd w:val="clear" w:color="auto" w:fill="auto"/>
          </w:tcPr>
          <w:p w14:paraId="7D6AA863" w14:textId="77777777" w:rsidR="00847984" w:rsidRPr="00E47A45" w:rsidRDefault="00847984" w:rsidP="00CA419A">
            <w:pPr>
              <w:spacing w:after="160" w:line="259" w:lineRule="auto"/>
              <w:jc w:val="center"/>
              <w:rPr>
                <w:sz w:val="22"/>
                <w:szCs w:val="22"/>
              </w:rPr>
            </w:pPr>
            <w:r w:rsidRPr="00E47A45">
              <w:rPr>
                <w:sz w:val="22"/>
                <w:szCs w:val="22"/>
              </w:rPr>
              <w:t>68,89</w:t>
            </w:r>
          </w:p>
        </w:tc>
        <w:tc>
          <w:tcPr>
            <w:tcW w:w="1584" w:type="pct"/>
            <w:tcBorders>
              <w:top w:val="single" w:sz="4" w:space="0" w:color="auto"/>
              <w:bottom w:val="single" w:sz="4" w:space="0" w:color="auto"/>
            </w:tcBorders>
            <w:shd w:val="clear" w:color="auto" w:fill="auto"/>
          </w:tcPr>
          <w:p w14:paraId="7FCAD758" w14:textId="77777777" w:rsidR="00847984" w:rsidRPr="00E47A45" w:rsidRDefault="00847984" w:rsidP="00165C51">
            <w:pPr>
              <w:jc w:val="center"/>
              <w:rPr>
                <w:sz w:val="22"/>
                <w:szCs w:val="22"/>
              </w:rPr>
            </w:pPr>
            <w:r>
              <w:rPr>
                <w:sz w:val="22"/>
                <w:szCs w:val="22"/>
              </w:rPr>
              <w:t>-</w:t>
            </w:r>
          </w:p>
        </w:tc>
      </w:tr>
    </w:tbl>
    <w:p w14:paraId="583017A9" w14:textId="77777777" w:rsidR="00E676AD" w:rsidRPr="00BC0E0B" w:rsidRDefault="00E676AD" w:rsidP="00E676AD">
      <w:pPr>
        <w:autoSpaceDE w:val="0"/>
        <w:autoSpaceDN w:val="0"/>
        <w:adjustRightInd w:val="0"/>
        <w:jc w:val="both"/>
      </w:pPr>
      <w:r w:rsidRPr="00BC0E0B">
        <w:t xml:space="preserve">* Médias seguidas de mesma letra maiúscula na coluna não diferem entre si, pelo teste de Tukey, a 5% de probabilidade. </w:t>
      </w:r>
    </w:p>
    <w:p w14:paraId="480887DC" w14:textId="77777777" w:rsidR="00830E32" w:rsidRPr="00437A35" w:rsidRDefault="00830E32" w:rsidP="00CF4D1D">
      <w:pPr>
        <w:ind w:firstLine="709"/>
        <w:jc w:val="both"/>
      </w:pPr>
    </w:p>
    <w:p w14:paraId="0A50D81E" w14:textId="77777777" w:rsidR="001D1BFE" w:rsidRPr="00030F92" w:rsidRDefault="00030F92" w:rsidP="00380272">
      <w:pPr>
        <w:ind w:right="-1"/>
        <w:jc w:val="both"/>
        <w:rPr>
          <w:sz w:val="22"/>
          <w:szCs w:val="22"/>
        </w:rPr>
      </w:pPr>
      <w:r w:rsidRPr="00030F92">
        <w:rPr>
          <w:sz w:val="22"/>
          <w:szCs w:val="22"/>
        </w:rPr>
        <w:tab/>
      </w:r>
      <w:r w:rsidR="00AF645B">
        <w:rPr>
          <w:sz w:val="22"/>
          <w:szCs w:val="22"/>
        </w:rPr>
        <w:t>Os valores médios das</w:t>
      </w:r>
      <w:r>
        <w:rPr>
          <w:sz w:val="22"/>
          <w:szCs w:val="22"/>
        </w:rPr>
        <w:t xml:space="preserve"> </w:t>
      </w:r>
      <w:r w:rsidR="00AF645B">
        <w:rPr>
          <w:sz w:val="22"/>
          <w:szCs w:val="22"/>
        </w:rPr>
        <w:t>características</w:t>
      </w:r>
      <w:r>
        <w:rPr>
          <w:sz w:val="22"/>
          <w:szCs w:val="22"/>
        </w:rPr>
        <w:t xml:space="preserve"> física</w:t>
      </w:r>
      <w:r w:rsidR="00AF645B">
        <w:rPr>
          <w:sz w:val="22"/>
          <w:szCs w:val="22"/>
        </w:rPr>
        <w:t>s</w:t>
      </w:r>
      <w:r>
        <w:rPr>
          <w:sz w:val="22"/>
          <w:szCs w:val="22"/>
        </w:rPr>
        <w:t xml:space="preserve"> dos frutos encontra</w:t>
      </w:r>
      <w:r w:rsidR="00AF645B">
        <w:rPr>
          <w:sz w:val="22"/>
          <w:szCs w:val="22"/>
        </w:rPr>
        <w:t>m</w:t>
      </w:r>
      <w:r>
        <w:rPr>
          <w:sz w:val="22"/>
          <w:szCs w:val="22"/>
        </w:rPr>
        <w:t xml:space="preserve">-se na Tabela 2. </w:t>
      </w:r>
      <w:r w:rsidR="009D606A">
        <w:rPr>
          <w:sz w:val="22"/>
          <w:szCs w:val="22"/>
        </w:rPr>
        <w:t>O peso médio de fruto variou de 13,66 g, no clone AGB10, a 17,16 g, no clone AGB2, com uma diferença entre ambos de 25,6</w:t>
      </w:r>
      <w:r w:rsidR="00FC04DE">
        <w:rPr>
          <w:sz w:val="22"/>
          <w:szCs w:val="22"/>
        </w:rPr>
        <w:t>2</w:t>
      </w:r>
      <w:r w:rsidR="009D606A">
        <w:rPr>
          <w:sz w:val="22"/>
          <w:szCs w:val="22"/>
        </w:rPr>
        <w:t xml:space="preserve">%. </w:t>
      </w:r>
      <w:r w:rsidR="00514D95">
        <w:rPr>
          <w:sz w:val="22"/>
          <w:szCs w:val="22"/>
        </w:rPr>
        <w:t xml:space="preserve">Quanto ao comprimento de fruto, </w:t>
      </w:r>
      <w:r w:rsidR="005022AD">
        <w:rPr>
          <w:sz w:val="22"/>
          <w:szCs w:val="22"/>
        </w:rPr>
        <w:t xml:space="preserve">o comportamento entre os clones foi bem similar, com variação de apenas 5,12% entre eles, verificado entre os clones AGB1 (3,90 cm) e ZLU (4,10 cm). </w:t>
      </w:r>
      <w:r w:rsidR="009C0B3A">
        <w:rPr>
          <w:sz w:val="22"/>
          <w:szCs w:val="22"/>
        </w:rPr>
        <w:t xml:space="preserve">Quanto ao diâmetro de fruto, o maior valor médio foi apresentado pelo cone AGB2 (2,63 cm), superando os clones AGB1 e AGB10 em cerca de 10%. Em relação à porcentagem de polpa, </w:t>
      </w:r>
      <w:r w:rsidR="00B46D76">
        <w:rPr>
          <w:sz w:val="22"/>
          <w:szCs w:val="22"/>
        </w:rPr>
        <w:t>esta variou de 41,16% a 46,21%, para os clones AGB10 e AGB1, respectivamente. Esses dados se assemelham aos relatados por VASCONCELOS et al. (2012) ao avaliar 14 genótipos de cajazeiras em Teresina, PI, cujos valores de porcentagem de polpa variaram de 34,72% a 53,74%, e média geral de 45,</w:t>
      </w:r>
      <w:r w:rsidR="00821394">
        <w:rPr>
          <w:sz w:val="22"/>
          <w:szCs w:val="22"/>
        </w:rPr>
        <w:t>45</w:t>
      </w:r>
      <w:r w:rsidR="00B46D76">
        <w:rPr>
          <w:sz w:val="22"/>
          <w:szCs w:val="22"/>
        </w:rPr>
        <w:t>%.</w:t>
      </w:r>
    </w:p>
    <w:p w14:paraId="5A7FBE87" w14:textId="77777777" w:rsidR="00030F92" w:rsidRPr="00030F92" w:rsidRDefault="00030F92" w:rsidP="00380272">
      <w:pPr>
        <w:ind w:right="-1"/>
        <w:jc w:val="both"/>
        <w:rPr>
          <w:sz w:val="22"/>
          <w:szCs w:val="22"/>
        </w:rPr>
      </w:pPr>
    </w:p>
    <w:p w14:paraId="7AE7BF51" w14:textId="77777777" w:rsidR="00E8132B" w:rsidRDefault="00545562" w:rsidP="00545562">
      <w:pPr>
        <w:ind w:left="1134" w:right="-1" w:hanging="1134"/>
        <w:jc w:val="both"/>
        <w:rPr>
          <w:bCs/>
          <w:sz w:val="18"/>
          <w:szCs w:val="18"/>
        </w:rPr>
      </w:pPr>
      <w:proofErr w:type="gramStart"/>
      <w:r w:rsidRPr="00545562">
        <w:rPr>
          <w:sz w:val="18"/>
          <w:szCs w:val="18"/>
        </w:rPr>
        <w:t>Tabela  2</w:t>
      </w:r>
      <w:proofErr w:type="gramEnd"/>
      <w:r w:rsidRPr="00545562">
        <w:rPr>
          <w:sz w:val="18"/>
          <w:szCs w:val="18"/>
        </w:rPr>
        <w:t xml:space="preserve">  –  </w:t>
      </w:r>
      <w:r w:rsidRPr="00545562">
        <w:rPr>
          <w:bCs/>
          <w:sz w:val="18"/>
          <w:szCs w:val="18"/>
        </w:rPr>
        <w:t>Características físicas dos frutos de quatro clones de cajazeiras conduzidas sob sequeiro no</w:t>
      </w:r>
    </w:p>
    <w:p w14:paraId="1C81CE2A" w14:textId="6175AFD7" w:rsidR="00545562" w:rsidRPr="00545562" w:rsidRDefault="00545562" w:rsidP="00545562">
      <w:pPr>
        <w:ind w:left="1134" w:right="-1" w:hanging="1134"/>
        <w:jc w:val="both"/>
        <w:rPr>
          <w:b/>
          <w:sz w:val="18"/>
          <w:szCs w:val="18"/>
        </w:rPr>
      </w:pPr>
      <w:r w:rsidRPr="00545562">
        <w:rPr>
          <w:bCs/>
          <w:sz w:val="18"/>
          <w:szCs w:val="18"/>
        </w:rPr>
        <w:t xml:space="preserve"> município de Água Branca-PI.</w:t>
      </w:r>
    </w:p>
    <w:tbl>
      <w:tblPr>
        <w:tblW w:w="4252" w:type="pct"/>
        <w:tblBorders>
          <w:top w:val="single" w:sz="4" w:space="0" w:color="auto"/>
          <w:bottom w:val="single" w:sz="4" w:space="0" w:color="auto"/>
        </w:tblBorders>
        <w:tblLook w:val="04A0" w:firstRow="1" w:lastRow="0" w:firstColumn="1" w:lastColumn="0" w:noHBand="0" w:noVBand="1"/>
      </w:tblPr>
      <w:tblGrid>
        <w:gridCol w:w="1647"/>
        <w:gridCol w:w="1590"/>
        <w:gridCol w:w="40"/>
        <w:gridCol w:w="1647"/>
        <w:gridCol w:w="41"/>
        <w:gridCol w:w="1593"/>
        <w:gridCol w:w="1156"/>
      </w:tblGrid>
      <w:tr w:rsidR="00E8132B" w:rsidRPr="00545562" w14:paraId="50B6FF21" w14:textId="77777777" w:rsidTr="00E8132B">
        <w:trPr>
          <w:trHeight w:val="406"/>
        </w:trPr>
        <w:tc>
          <w:tcPr>
            <w:tcW w:w="1073" w:type="pct"/>
            <w:tcBorders>
              <w:top w:val="single" w:sz="4" w:space="0" w:color="auto"/>
              <w:bottom w:val="single" w:sz="4" w:space="0" w:color="auto"/>
            </w:tcBorders>
            <w:shd w:val="clear" w:color="auto" w:fill="auto"/>
            <w:vAlign w:val="center"/>
          </w:tcPr>
          <w:p w14:paraId="3ACEE717" w14:textId="77777777" w:rsidR="00545562" w:rsidRPr="00545562" w:rsidRDefault="00545562" w:rsidP="009C6339">
            <w:pPr>
              <w:rPr>
                <w:sz w:val="18"/>
                <w:szCs w:val="18"/>
              </w:rPr>
            </w:pPr>
            <w:r w:rsidRPr="00545562">
              <w:rPr>
                <w:sz w:val="18"/>
                <w:szCs w:val="18"/>
              </w:rPr>
              <w:t>Cultivares</w:t>
            </w:r>
          </w:p>
        </w:tc>
        <w:tc>
          <w:tcPr>
            <w:tcW w:w="1067" w:type="pct"/>
            <w:gridSpan w:val="2"/>
            <w:tcBorders>
              <w:top w:val="single" w:sz="4" w:space="0" w:color="auto"/>
            </w:tcBorders>
            <w:shd w:val="clear" w:color="auto" w:fill="auto"/>
            <w:vAlign w:val="center"/>
          </w:tcPr>
          <w:p w14:paraId="4B99AC59" w14:textId="77777777" w:rsidR="00E8132B" w:rsidRDefault="00545562" w:rsidP="009C6339">
            <w:pPr>
              <w:rPr>
                <w:sz w:val="18"/>
                <w:szCs w:val="18"/>
              </w:rPr>
            </w:pPr>
            <w:r w:rsidRPr="00545562">
              <w:rPr>
                <w:sz w:val="18"/>
                <w:szCs w:val="18"/>
              </w:rPr>
              <w:t>Peso médio</w:t>
            </w:r>
          </w:p>
          <w:p w14:paraId="2E844249" w14:textId="66A463E8" w:rsidR="00545562" w:rsidRPr="00545562" w:rsidRDefault="00545562" w:rsidP="009C6339">
            <w:pPr>
              <w:rPr>
                <w:sz w:val="18"/>
                <w:szCs w:val="18"/>
              </w:rPr>
            </w:pPr>
            <w:r w:rsidRPr="00545562">
              <w:rPr>
                <w:sz w:val="18"/>
                <w:szCs w:val="18"/>
              </w:rPr>
              <w:t xml:space="preserve"> de Fruto (g)</w:t>
            </w:r>
          </w:p>
        </w:tc>
        <w:tc>
          <w:tcPr>
            <w:tcW w:w="1073" w:type="pct"/>
            <w:tcBorders>
              <w:top w:val="single" w:sz="4" w:space="0" w:color="auto"/>
            </w:tcBorders>
            <w:shd w:val="clear" w:color="auto" w:fill="auto"/>
            <w:vAlign w:val="center"/>
          </w:tcPr>
          <w:p w14:paraId="70A43579" w14:textId="77777777" w:rsidR="00E8132B" w:rsidRDefault="00545562" w:rsidP="009C6339">
            <w:pPr>
              <w:rPr>
                <w:sz w:val="18"/>
                <w:szCs w:val="18"/>
              </w:rPr>
            </w:pPr>
            <w:r w:rsidRPr="00545562">
              <w:rPr>
                <w:sz w:val="18"/>
                <w:szCs w:val="18"/>
              </w:rPr>
              <w:t xml:space="preserve">Comprimento </w:t>
            </w:r>
          </w:p>
          <w:p w14:paraId="22EFB7B3" w14:textId="4FB86915" w:rsidR="00545562" w:rsidRPr="00545562" w:rsidRDefault="00545562" w:rsidP="009C6339">
            <w:pPr>
              <w:rPr>
                <w:sz w:val="18"/>
                <w:szCs w:val="18"/>
              </w:rPr>
            </w:pPr>
            <w:r w:rsidRPr="00545562">
              <w:rPr>
                <w:sz w:val="18"/>
                <w:szCs w:val="18"/>
              </w:rPr>
              <w:t>de Fruto (cm)</w:t>
            </w:r>
          </w:p>
        </w:tc>
        <w:tc>
          <w:tcPr>
            <w:tcW w:w="1069" w:type="pct"/>
            <w:gridSpan w:val="2"/>
            <w:tcBorders>
              <w:top w:val="single" w:sz="4" w:space="0" w:color="auto"/>
              <w:bottom w:val="single" w:sz="4" w:space="0" w:color="auto"/>
            </w:tcBorders>
            <w:shd w:val="clear" w:color="auto" w:fill="auto"/>
            <w:vAlign w:val="center"/>
          </w:tcPr>
          <w:p w14:paraId="2962D5FF" w14:textId="77777777" w:rsidR="00E8132B" w:rsidRDefault="00545562" w:rsidP="009C6339">
            <w:pPr>
              <w:rPr>
                <w:sz w:val="18"/>
                <w:szCs w:val="18"/>
              </w:rPr>
            </w:pPr>
            <w:r w:rsidRPr="00545562">
              <w:rPr>
                <w:sz w:val="18"/>
                <w:szCs w:val="18"/>
              </w:rPr>
              <w:t xml:space="preserve">Diâmetro </w:t>
            </w:r>
          </w:p>
          <w:p w14:paraId="616704F3" w14:textId="20A3077C" w:rsidR="00545562" w:rsidRPr="00545562" w:rsidRDefault="00545562" w:rsidP="009C6339">
            <w:pPr>
              <w:rPr>
                <w:sz w:val="18"/>
                <w:szCs w:val="18"/>
              </w:rPr>
            </w:pPr>
            <w:r w:rsidRPr="00545562">
              <w:rPr>
                <w:sz w:val="18"/>
                <w:szCs w:val="18"/>
              </w:rPr>
              <w:t>de Fruto (cm)</w:t>
            </w:r>
          </w:p>
        </w:tc>
        <w:tc>
          <w:tcPr>
            <w:tcW w:w="719" w:type="pct"/>
            <w:tcBorders>
              <w:top w:val="single" w:sz="4" w:space="0" w:color="auto"/>
              <w:bottom w:val="single" w:sz="4" w:space="0" w:color="auto"/>
            </w:tcBorders>
            <w:shd w:val="clear" w:color="auto" w:fill="auto"/>
            <w:vAlign w:val="center"/>
          </w:tcPr>
          <w:p w14:paraId="4835BD96" w14:textId="77777777" w:rsidR="00545562" w:rsidRPr="00545562" w:rsidRDefault="00545562" w:rsidP="009C6339">
            <w:pPr>
              <w:rPr>
                <w:sz w:val="18"/>
                <w:szCs w:val="18"/>
              </w:rPr>
            </w:pPr>
            <w:r w:rsidRPr="00545562">
              <w:rPr>
                <w:sz w:val="18"/>
                <w:szCs w:val="18"/>
              </w:rPr>
              <w:t>Porcentagem de Polpa (%)</w:t>
            </w:r>
          </w:p>
        </w:tc>
      </w:tr>
      <w:tr w:rsidR="00E8132B" w:rsidRPr="00545562" w14:paraId="1EA4B920" w14:textId="77777777" w:rsidTr="00E8132B">
        <w:trPr>
          <w:trHeight w:val="332"/>
        </w:trPr>
        <w:tc>
          <w:tcPr>
            <w:tcW w:w="1073" w:type="pct"/>
            <w:tcBorders>
              <w:top w:val="single" w:sz="4" w:space="0" w:color="auto"/>
            </w:tcBorders>
            <w:shd w:val="clear" w:color="auto" w:fill="auto"/>
          </w:tcPr>
          <w:p w14:paraId="17667473" w14:textId="77777777" w:rsidR="00545562" w:rsidRPr="00545562" w:rsidRDefault="00545562" w:rsidP="009C6339">
            <w:pPr>
              <w:rPr>
                <w:sz w:val="18"/>
                <w:szCs w:val="18"/>
              </w:rPr>
            </w:pPr>
            <w:r w:rsidRPr="00545562">
              <w:rPr>
                <w:sz w:val="18"/>
                <w:szCs w:val="18"/>
              </w:rPr>
              <w:t>AGB1</w:t>
            </w:r>
          </w:p>
        </w:tc>
        <w:tc>
          <w:tcPr>
            <w:tcW w:w="1036" w:type="pct"/>
            <w:tcBorders>
              <w:top w:val="single" w:sz="4" w:space="0" w:color="auto"/>
            </w:tcBorders>
            <w:shd w:val="clear" w:color="auto" w:fill="auto"/>
          </w:tcPr>
          <w:p w14:paraId="508E22FD" w14:textId="77777777" w:rsidR="00545562" w:rsidRPr="00545562" w:rsidRDefault="00545562" w:rsidP="009C6339">
            <w:pPr>
              <w:spacing w:after="160" w:line="259" w:lineRule="auto"/>
              <w:rPr>
                <w:sz w:val="18"/>
                <w:szCs w:val="18"/>
              </w:rPr>
            </w:pPr>
            <w:r w:rsidRPr="00545562">
              <w:rPr>
                <w:sz w:val="18"/>
                <w:szCs w:val="18"/>
              </w:rPr>
              <w:t>15,09</w:t>
            </w:r>
          </w:p>
        </w:tc>
        <w:tc>
          <w:tcPr>
            <w:tcW w:w="1136" w:type="pct"/>
            <w:gridSpan w:val="3"/>
            <w:tcBorders>
              <w:top w:val="single" w:sz="4" w:space="0" w:color="auto"/>
            </w:tcBorders>
            <w:shd w:val="clear" w:color="auto" w:fill="auto"/>
          </w:tcPr>
          <w:p w14:paraId="77E11B20" w14:textId="77777777" w:rsidR="00545562" w:rsidRPr="00545562" w:rsidRDefault="00545562" w:rsidP="009C6339">
            <w:pPr>
              <w:spacing w:after="160" w:line="259" w:lineRule="auto"/>
              <w:rPr>
                <w:sz w:val="18"/>
                <w:szCs w:val="18"/>
              </w:rPr>
            </w:pPr>
            <w:r w:rsidRPr="00545562">
              <w:rPr>
                <w:sz w:val="18"/>
                <w:szCs w:val="18"/>
              </w:rPr>
              <w:t>3,90</w:t>
            </w:r>
          </w:p>
        </w:tc>
        <w:tc>
          <w:tcPr>
            <w:tcW w:w="1036" w:type="pct"/>
            <w:tcBorders>
              <w:top w:val="single" w:sz="4" w:space="0" w:color="auto"/>
            </w:tcBorders>
            <w:shd w:val="clear" w:color="auto" w:fill="auto"/>
          </w:tcPr>
          <w:p w14:paraId="11DA84F4" w14:textId="77777777" w:rsidR="00545562" w:rsidRPr="00545562" w:rsidRDefault="00545562" w:rsidP="009C6339">
            <w:pPr>
              <w:rPr>
                <w:color w:val="000000"/>
                <w:sz w:val="18"/>
                <w:szCs w:val="18"/>
              </w:rPr>
            </w:pPr>
            <w:r w:rsidRPr="00545562">
              <w:rPr>
                <w:color w:val="000000"/>
                <w:sz w:val="18"/>
                <w:szCs w:val="18"/>
              </w:rPr>
              <w:t>2,39</w:t>
            </w:r>
          </w:p>
        </w:tc>
        <w:tc>
          <w:tcPr>
            <w:tcW w:w="719" w:type="pct"/>
            <w:tcBorders>
              <w:top w:val="single" w:sz="4" w:space="0" w:color="auto"/>
            </w:tcBorders>
            <w:shd w:val="clear" w:color="auto" w:fill="auto"/>
          </w:tcPr>
          <w:p w14:paraId="072B2E88" w14:textId="77777777" w:rsidR="00545562" w:rsidRPr="00545562" w:rsidRDefault="00545562" w:rsidP="009C6339">
            <w:pPr>
              <w:rPr>
                <w:color w:val="000000"/>
                <w:sz w:val="18"/>
                <w:szCs w:val="18"/>
              </w:rPr>
            </w:pPr>
            <w:r w:rsidRPr="00545562">
              <w:rPr>
                <w:color w:val="000000"/>
                <w:sz w:val="18"/>
                <w:szCs w:val="18"/>
              </w:rPr>
              <w:t>46,21</w:t>
            </w:r>
          </w:p>
        </w:tc>
      </w:tr>
      <w:tr w:rsidR="00E8132B" w:rsidRPr="00545562" w14:paraId="1BFC5374" w14:textId="77777777" w:rsidTr="00E8132B">
        <w:trPr>
          <w:trHeight w:val="332"/>
        </w:trPr>
        <w:tc>
          <w:tcPr>
            <w:tcW w:w="1073" w:type="pct"/>
            <w:shd w:val="clear" w:color="auto" w:fill="auto"/>
          </w:tcPr>
          <w:p w14:paraId="305ED06D" w14:textId="77777777" w:rsidR="00545562" w:rsidRPr="00545562" w:rsidRDefault="00545562" w:rsidP="009C6339">
            <w:pPr>
              <w:rPr>
                <w:sz w:val="18"/>
                <w:szCs w:val="18"/>
              </w:rPr>
            </w:pPr>
            <w:r w:rsidRPr="00545562">
              <w:rPr>
                <w:sz w:val="18"/>
                <w:szCs w:val="18"/>
              </w:rPr>
              <w:t>AGB2</w:t>
            </w:r>
          </w:p>
        </w:tc>
        <w:tc>
          <w:tcPr>
            <w:tcW w:w="1036" w:type="pct"/>
            <w:shd w:val="clear" w:color="auto" w:fill="auto"/>
          </w:tcPr>
          <w:p w14:paraId="406EAA3B" w14:textId="77777777" w:rsidR="00545562" w:rsidRPr="00545562" w:rsidRDefault="00545562" w:rsidP="009C6339">
            <w:pPr>
              <w:spacing w:after="160" w:line="259" w:lineRule="auto"/>
              <w:rPr>
                <w:sz w:val="18"/>
                <w:szCs w:val="18"/>
              </w:rPr>
            </w:pPr>
            <w:r w:rsidRPr="00545562">
              <w:rPr>
                <w:sz w:val="18"/>
                <w:szCs w:val="18"/>
              </w:rPr>
              <w:t>17,16</w:t>
            </w:r>
          </w:p>
        </w:tc>
        <w:tc>
          <w:tcPr>
            <w:tcW w:w="1136" w:type="pct"/>
            <w:gridSpan w:val="3"/>
            <w:shd w:val="clear" w:color="auto" w:fill="auto"/>
          </w:tcPr>
          <w:p w14:paraId="708581F5" w14:textId="77777777" w:rsidR="00545562" w:rsidRPr="00545562" w:rsidRDefault="00545562" w:rsidP="009C6339">
            <w:pPr>
              <w:spacing w:after="160" w:line="259" w:lineRule="auto"/>
              <w:rPr>
                <w:sz w:val="18"/>
                <w:szCs w:val="18"/>
              </w:rPr>
            </w:pPr>
            <w:r w:rsidRPr="00545562">
              <w:rPr>
                <w:sz w:val="18"/>
                <w:szCs w:val="18"/>
              </w:rPr>
              <w:t>4,08</w:t>
            </w:r>
          </w:p>
        </w:tc>
        <w:tc>
          <w:tcPr>
            <w:tcW w:w="1036" w:type="pct"/>
            <w:shd w:val="clear" w:color="auto" w:fill="auto"/>
          </w:tcPr>
          <w:p w14:paraId="4CD77CC1" w14:textId="77777777" w:rsidR="00545562" w:rsidRPr="00545562" w:rsidRDefault="00545562" w:rsidP="009C6339">
            <w:pPr>
              <w:rPr>
                <w:color w:val="000000"/>
                <w:sz w:val="18"/>
                <w:szCs w:val="18"/>
              </w:rPr>
            </w:pPr>
            <w:r w:rsidRPr="00545562">
              <w:rPr>
                <w:color w:val="000000"/>
                <w:sz w:val="18"/>
                <w:szCs w:val="18"/>
              </w:rPr>
              <w:t>2,63</w:t>
            </w:r>
          </w:p>
        </w:tc>
        <w:tc>
          <w:tcPr>
            <w:tcW w:w="719" w:type="pct"/>
            <w:shd w:val="clear" w:color="auto" w:fill="auto"/>
          </w:tcPr>
          <w:p w14:paraId="01D9CF8F" w14:textId="77777777" w:rsidR="00545562" w:rsidRPr="00545562" w:rsidRDefault="00545562" w:rsidP="009C6339">
            <w:pPr>
              <w:rPr>
                <w:color w:val="000000"/>
                <w:sz w:val="18"/>
                <w:szCs w:val="18"/>
              </w:rPr>
            </w:pPr>
            <w:r w:rsidRPr="00545562">
              <w:rPr>
                <w:color w:val="000000"/>
                <w:sz w:val="18"/>
                <w:szCs w:val="18"/>
              </w:rPr>
              <w:t>43,56</w:t>
            </w:r>
          </w:p>
        </w:tc>
      </w:tr>
      <w:tr w:rsidR="00E8132B" w:rsidRPr="00545562" w14:paraId="57855B2A" w14:textId="77777777" w:rsidTr="00E8132B">
        <w:trPr>
          <w:trHeight w:val="332"/>
        </w:trPr>
        <w:tc>
          <w:tcPr>
            <w:tcW w:w="1073" w:type="pct"/>
            <w:shd w:val="clear" w:color="auto" w:fill="auto"/>
          </w:tcPr>
          <w:p w14:paraId="3A1A4CF4" w14:textId="77777777" w:rsidR="00545562" w:rsidRPr="00545562" w:rsidRDefault="00545562" w:rsidP="009C6339">
            <w:pPr>
              <w:rPr>
                <w:sz w:val="18"/>
                <w:szCs w:val="18"/>
              </w:rPr>
            </w:pPr>
            <w:r w:rsidRPr="00545562">
              <w:rPr>
                <w:sz w:val="18"/>
                <w:szCs w:val="18"/>
              </w:rPr>
              <w:t>AGB10</w:t>
            </w:r>
          </w:p>
        </w:tc>
        <w:tc>
          <w:tcPr>
            <w:tcW w:w="1036" w:type="pct"/>
            <w:shd w:val="clear" w:color="auto" w:fill="auto"/>
          </w:tcPr>
          <w:p w14:paraId="1E0705E2" w14:textId="77777777" w:rsidR="00545562" w:rsidRPr="00545562" w:rsidRDefault="00545562" w:rsidP="009C6339">
            <w:pPr>
              <w:spacing w:after="160" w:line="259" w:lineRule="auto"/>
              <w:rPr>
                <w:sz w:val="18"/>
                <w:szCs w:val="18"/>
              </w:rPr>
            </w:pPr>
            <w:r w:rsidRPr="00545562">
              <w:rPr>
                <w:sz w:val="18"/>
                <w:szCs w:val="18"/>
              </w:rPr>
              <w:t>13,66</w:t>
            </w:r>
          </w:p>
        </w:tc>
        <w:tc>
          <w:tcPr>
            <w:tcW w:w="1136" w:type="pct"/>
            <w:gridSpan w:val="3"/>
            <w:shd w:val="clear" w:color="auto" w:fill="auto"/>
          </w:tcPr>
          <w:p w14:paraId="0E796F65" w14:textId="77777777" w:rsidR="00545562" w:rsidRPr="00545562" w:rsidRDefault="00545562" w:rsidP="009C6339">
            <w:pPr>
              <w:spacing w:after="160" w:line="259" w:lineRule="auto"/>
              <w:rPr>
                <w:sz w:val="18"/>
                <w:szCs w:val="18"/>
              </w:rPr>
            </w:pPr>
            <w:r w:rsidRPr="00545562">
              <w:rPr>
                <w:sz w:val="18"/>
                <w:szCs w:val="18"/>
              </w:rPr>
              <w:t>4,05</w:t>
            </w:r>
          </w:p>
        </w:tc>
        <w:tc>
          <w:tcPr>
            <w:tcW w:w="1036" w:type="pct"/>
            <w:shd w:val="clear" w:color="auto" w:fill="auto"/>
          </w:tcPr>
          <w:p w14:paraId="63B32352" w14:textId="77777777" w:rsidR="00545562" w:rsidRPr="00545562" w:rsidRDefault="00545562" w:rsidP="009C6339">
            <w:pPr>
              <w:rPr>
                <w:color w:val="000000"/>
                <w:sz w:val="18"/>
                <w:szCs w:val="18"/>
              </w:rPr>
            </w:pPr>
            <w:r w:rsidRPr="00545562">
              <w:rPr>
                <w:color w:val="000000"/>
                <w:sz w:val="18"/>
                <w:szCs w:val="18"/>
              </w:rPr>
              <w:t>2,39</w:t>
            </w:r>
          </w:p>
        </w:tc>
        <w:tc>
          <w:tcPr>
            <w:tcW w:w="719" w:type="pct"/>
            <w:shd w:val="clear" w:color="auto" w:fill="auto"/>
          </w:tcPr>
          <w:p w14:paraId="6A5EF261" w14:textId="77777777" w:rsidR="00545562" w:rsidRPr="00545562" w:rsidRDefault="00545562" w:rsidP="009C6339">
            <w:pPr>
              <w:rPr>
                <w:color w:val="000000"/>
                <w:sz w:val="18"/>
                <w:szCs w:val="18"/>
              </w:rPr>
            </w:pPr>
            <w:r w:rsidRPr="00545562">
              <w:rPr>
                <w:color w:val="000000"/>
                <w:sz w:val="18"/>
                <w:szCs w:val="18"/>
              </w:rPr>
              <w:t>41,16</w:t>
            </w:r>
          </w:p>
        </w:tc>
      </w:tr>
      <w:tr w:rsidR="00E8132B" w:rsidRPr="00545562" w14:paraId="6518EC3C" w14:textId="77777777" w:rsidTr="00E8132B">
        <w:trPr>
          <w:trHeight w:val="322"/>
        </w:trPr>
        <w:tc>
          <w:tcPr>
            <w:tcW w:w="1073" w:type="pct"/>
            <w:shd w:val="clear" w:color="auto" w:fill="auto"/>
          </w:tcPr>
          <w:p w14:paraId="320731A0" w14:textId="77777777" w:rsidR="00545562" w:rsidRPr="00545562" w:rsidRDefault="00545562" w:rsidP="009C6339">
            <w:pPr>
              <w:rPr>
                <w:sz w:val="18"/>
                <w:szCs w:val="18"/>
              </w:rPr>
            </w:pPr>
            <w:r w:rsidRPr="00545562">
              <w:rPr>
                <w:sz w:val="18"/>
                <w:szCs w:val="18"/>
              </w:rPr>
              <w:t>ZLU</w:t>
            </w:r>
          </w:p>
        </w:tc>
        <w:tc>
          <w:tcPr>
            <w:tcW w:w="1036" w:type="pct"/>
            <w:shd w:val="clear" w:color="auto" w:fill="auto"/>
          </w:tcPr>
          <w:p w14:paraId="59079905" w14:textId="77777777" w:rsidR="00545562" w:rsidRPr="00545562" w:rsidRDefault="00545562" w:rsidP="009C6339">
            <w:pPr>
              <w:spacing w:after="160" w:line="259" w:lineRule="auto"/>
              <w:rPr>
                <w:sz w:val="18"/>
                <w:szCs w:val="18"/>
              </w:rPr>
            </w:pPr>
            <w:r w:rsidRPr="00545562">
              <w:rPr>
                <w:sz w:val="18"/>
                <w:szCs w:val="18"/>
              </w:rPr>
              <w:t>14,83</w:t>
            </w:r>
          </w:p>
        </w:tc>
        <w:tc>
          <w:tcPr>
            <w:tcW w:w="1136" w:type="pct"/>
            <w:gridSpan w:val="3"/>
            <w:shd w:val="clear" w:color="auto" w:fill="auto"/>
          </w:tcPr>
          <w:p w14:paraId="1386431D" w14:textId="77777777" w:rsidR="00545562" w:rsidRPr="00545562" w:rsidRDefault="00545562" w:rsidP="009C6339">
            <w:pPr>
              <w:spacing w:after="160" w:line="259" w:lineRule="auto"/>
              <w:rPr>
                <w:sz w:val="18"/>
                <w:szCs w:val="18"/>
              </w:rPr>
            </w:pPr>
            <w:r w:rsidRPr="00545562">
              <w:rPr>
                <w:sz w:val="18"/>
                <w:szCs w:val="18"/>
              </w:rPr>
              <w:t>4,10</w:t>
            </w:r>
          </w:p>
        </w:tc>
        <w:tc>
          <w:tcPr>
            <w:tcW w:w="1036" w:type="pct"/>
            <w:shd w:val="clear" w:color="auto" w:fill="auto"/>
          </w:tcPr>
          <w:p w14:paraId="20C97166" w14:textId="77777777" w:rsidR="00545562" w:rsidRPr="00545562" w:rsidRDefault="00545562" w:rsidP="009C6339">
            <w:pPr>
              <w:rPr>
                <w:color w:val="000000"/>
                <w:sz w:val="18"/>
                <w:szCs w:val="18"/>
              </w:rPr>
            </w:pPr>
            <w:r w:rsidRPr="00545562">
              <w:rPr>
                <w:color w:val="000000"/>
                <w:sz w:val="18"/>
                <w:szCs w:val="18"/>
              </w:rPr>
              <w:t>2,50</w:t>
            </w:r>
          </w:p>
        </w:tc>
        <w:tc>
          <w:tcPr>
            <w:tcW w:w="719" w:type="pct"/>
            <w:shd w:val="clear" w:color="auto" w:fill="auto"/>
          </w:tcPr>
          <w:p w14:paraId="6B1022EE" w14:textId="77777777" w:rsidR="00545562" w:rsidRPr="00545562" w:rsidRDefault="00545562" w:rsidP="009C6339">
            <w:pPr>
              <w:rPr>
                <w:color w:val="000000"/>
                <w:sz w:val="18"/>
                <w:szCs w:val="18"/>
              </w:rPr>
            </w:pPr>
            <w:r w:rsidRPr="00545562">
              <w:rPr>
                <w:color w:val="000000"/>
                <w:sz w:val="18"/>
                <w:szCs w:val="18"/>
              </w:rPr>
              <w:t>41,64</w:t>
            </w:r>
          </w:p>
        </w:tc>
      </w:tr>
    </w:tbl>
    <w:p w14:paraId="082BA9AB" w14:textId="77777777" w:rsidR="00545562" w:rsidRDefault="00545562" w:rsidP="00545562">
      <w:pPr>
        <w:ind w:right="-1"/>
        <w:rPr>
          <w:b/>
          <w:sz w:val="18"/>
          <w:szCs w:val="18"/>
        </w:rPr>
      </w:pPr>
    </w:p>
    <w:p w14:paraId="371198E9" w14:textId="77777777" w:rsidR="00545562" w:rsidRDefault="00545562" w:rsidP="00545562">
      <w:pPr>
        <w:ind w:right="-1"/>
        <w:rPr>
          <w:b/>
          <w:sz w:val="18"/>
          <w:szCs w:val="18"/>
        </w:rPr>
      </w:pPr>
    </w:p>
    <w:p w14:paraId="350A24AE" w14:textId="77777777" w:rsidR="00545562" w:rsidRDefault="00545562" w:rsidP="00545562">
      <w:pPr>
        <w:ind w:right="-1"/>
        <w:rPr>
          <w:b/>
          <w:sz w:val="18"/>
          <w:szCs w:val="18"/>
        </w:rPr>
      </w:pPr>
    </w:p>
    <w:p w14:paraId="3A673E5D" w14:textId="77777777" w:rsidR="00545562" w:rsidRDefault="00545562" w:rsidP="00545562">
      <w:pPr>
        <w:ind w:right="-1"/>
        <w:rPr>
          <w:b/>
          <w:sz w:val="18"/>
          <w:szCs w:val="18"/>
        </w:rPr>
      </w:pPr>
    </w:p>
    <w:p w14:paraId="43D63B6F" w14:textId="77777777" w:rsidR="00545562" w:rsidRDefault="00545562" w:rsidP="00545562">
      <w:pPr>
        <w:ind w:right="-1"/>
        <w:rPr>
          <w:b/>
          <w:sz w:val="18"/>
          <w:szCs w:val="18"/>
        </w:rPr>
      </w:pPr>
    </w:p>
    <w:p w14:paraId="4813EEFF" w14:textId="77777777" w:rsidR="00545562" w:rsidRDefault="00545562" w:rsidP="00545562">
      <w:pPr>
        <w:ind w:right="-1"/>
        <w:rPr>
          <w:b/>
          <w:sz w:val="18"/>
          <w:szCs w:val="18"/>
        </w:rPr>
      </w:pPr>
    </w:p>
    <w:p w14:paraId="72D1F7B2" w14:textId="77777777" w:rsidR="00545562" w:rsidRDefault="00545562" w:rsidP="00545562">
      <w:pPr>
        <w:ind w:right="-1"/>
        <w:rPr>
          <w:b/>
          <w:sz w:val="18"/>
          <w:szCs w:val="18"/>
        </w:rPr>
      </w:pPr>
    </w:p>
    <w:p w14:paraId="4C30A59B" w14:textId="77777777" w:rsidR="00545562" w:rsidRDefault="00545562" w:rsidP="00545562">
      <w:pPr>
        <w:ind w:right="-1"/>
        <w:rPr>
          <w:b/>
          <w:sz w:val="18"/>
          <w:szCs w:val="18"/>
        </w:rPr>
      </w:pPr>
    </w:p>
    <w:p w14:paraId="69818C98" w14:textId="77777777" w:rsidR="00C350B6" w:rsidRPr="00437A35" w:rsidRDefault="00A40B19" w:rsidP="00380272">
      <w:pPr>
        <w:ind w:right="-1"/>
        <w:jc w:val="both"/>
        <w:rPr>
          <w:b/>
          <w:sz w:val="22"/>
          <w:szCs w:val="22"/>
        </w:rPr>
      </w:pPr>
      <w:r w:rsidRPr="00437A35">
        <w:rPr>
          <w:b/>
          <w:sz w:val="22"/>
          <w:szCs w:val="22"/>
        </w:rPr>
        <w:lastRenderedPageBreak/>
        <w:t>CONCLUS</w:t>
      </w:r>
      <w:r w:rsidR="00EB2C09">
        <w:rPr>
          <w:b/>
          <w:sz w:val="22"/>
          <w:szCs w:val="22"/>
        </w:rPr>
        <w:t>ÕES</w:t>
      </w:r>
    </w:p>
    <w:p w14:paraId="29FB85E7" w14:textId="77777777" w:rsidR="001E2B04" w:rsidRDefault="001403C3" w:rsidP="00E676AD">
      <w:pPr>
        <w:tabs>
          <w:tab w:val="left" w:pos="0"/>
        </w:tabs>
        <w:ind w:right="-1"/>
        <w:jc w:val="both"/>
        <w:rPr>
          <w:sz w:val="22"/>
          <w:szCs w:val="22"/>
        </w:rPr>
      </w:pPr>
      <w:r>
        <w:rPr>
          <w:sz w:val="22"/>
          <w:szCs w:val="22"/>
        </w:rPr>
        <w:tab/>
      </w:r>
      <w:r w:rsidR="00CA02CB">
        <w:rPr>
          <w:sz w:val="22"/>
          <w:szCs w:val="22"/>
        </w:rPr>
        <w:t>Os quatro clones estudados não diferiram entre si quanto à produtividade de frutos na safra de 2021</w:t>
      </w:r>
      <w:r>
        <w:rPr>
          <w:sz w:val="22"/>
          <w:szCs w:val="22"/>
        </w:rPr>
        <w:t>.</w:t>
      </w:r>
      <w:r w:rsidR="00EB2C09">
        <w:rPr>
          <w:sz w:val="22"/>
          <w:szCs w:val="22"/>
        </w:rPr>
        <w:t xml:space="preserve"> </w:t>
      </w:r>
    </w:p>
    <w:p w14:paraId="314CAADD" w14:textId="77777777" w:rsidR="00830E32" w:rsidRDefault="00EB2C09" w:rsidP="00E676AD">
      <w:pPr>
        <w:tabs>
          <w:tab w:val="left" w:pos="0"/>
        </w:tabs>
        <w:ind w:right="-1"/>
        <w:jc w:val="both"/>
        <w:rPr>
          <w:sz w:val="22"/>
          <w:szCs w:val="22"/>
        </w:rPr>
      </w:pPr>
      <w:r>
        <w:rPr>
          <w:sz w:val="22"/>
          <w:szCs w:val="22"/>
        </w:rPr>
        <w:tab/>
      </w:r>
      <w:r w:rsidR="00CA02CB">
        <w:rPr>
          <w:sz w:val="22"/>
          <w:szCs w:val="22"/>
        </w:rPr>
        <w:t xml:space="preserve">Os clones </w:t>
      </w:r>
      <w:r w:rsidR="000B27CE">
        <w:rPr>
          <w:sz w:val="22"/>
          <w:szCs w:val="22"/>
        </w:rPr>
        <w:t>AGB2, AGB10 e ZLU apresentam uma forte tendência à alternância de produção.</w:t>
      </w:r>
    </w:p>
    <w:p w14:paraId="65439FBF" w14:textId="77777777" w:rsidR="009C0B3A" w:rsidRDefault="009C0B3A" w:rsidP="00E676AD">
      <w:pPr>
        <w:tabs>
          <w:tab w:val="left" w:pos="0"/>
        </w:tabs>
        <w:ind w:right="-1"/>
        <w:jc w:val="both"/>
        <w:rPr>
          <w:sz w:val="22"/>
          <w:szCs w:val="22"/>
        </w:rPr>
      </w:pPr>
      <w:r>
        <w:rPr>
          <w:sz w:val="22"/>
          <w:szCs w:val="22"/>
        </w:rPr>
        <w:tab/>
        <w:t>Os clones AGB1 e AGB2 foram os mais promissores quanto à porcentagem de polpa</w:t>
      </w:r>
      <w:r w:rsidR="00821394">
        <w:rPr>
          <w:sz w:val="22"/>
          <w:szCs w:val="22"/>
        </w:rPr>
        <w:t>, com valores acima de 43%.</w:t>
      </w:r>
    </w:p>
    <w:p w14:paraId="6E545CD1" w14:textId="77777777" w:rsidR="00830E32" w:rsidRDefault="00830E32" w:rsidP="00E676AD">
      <w:pPr>
        <w:tabs>
          <w:tab w:val="left" w:pos="0"/>
        </w:tabs>
        <w:ind w:right="-1"/>
        <w:jc w:val="both"/>
        <w:rPr>
          <w:sz w:val="22"/>
          <w:szCs w:val="22"/>
        </w:rPr>
      </w:pPr>
    </w:p>
    <w:p w14:paraId="3579B67D"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195A96EE" w14:textId="77777777" w:rsidR="00E74C1E" w:rsidRPr="00437A35" w:rsidRDefault="00E74C1E" w:rsidP="00380272">
      <w:pPr>
        <w:autoSpaceDE w:val="0"/>
        <w:autoSpaceDN w:val="0"/>
        <w:adjustRightInd w:val="0"/>
        <w:ind w:firstLine="709"/>
        <w:jc w:val="both"/>
        <w:rPr>
          <w:rFonts w:eastAsia="Calibri"/>
          <w:sz w:val="22"/>
          <w:szCs w:val="22"/>
        </w:rPr>
      </w:pPr>
      <w:r w:rsidRPr="00437A35">
        <w:rPr>
          <w:rFonts w:eastAsia="Calibri"/>
          <w:sz w:val="22"/>
          <w:szCs w:val="22"/>
        </w:rPr>
        <w:t xml:space="preserve">A </w:t>
      </w:r>
      <w:r w:rsidR="00C52514">
        <w:rPr>
          <w:rFonts w:eastAsia="Calibri"/>
          <w:sz w:val="22"/>
          <w:szCs w:val="22"/>
        </w:rPr>
        <w:t>FAPEPI – fundação de amparo a pesquisa no estado do Piauí pelo financiamento concedido.</w:t>
      </w:r>
    </w:p>
    <w:p w14:paraId="435CE0CF" w14:textId="77777777" w:rsidR="00E74C1E" w:rsidRPr="00437A35" w:rsidRDefault="00C52514" w:rsidP="00380272">
      <w:pPr>
        <w:autoSpaceDE w:val="0"/>
        <w:autoSpaceDN w:val="0"/>
        <w:adjustRightInd w:val="0"/>
        <w:jc w:val="both"/>
        <w:rPr>
          <w:rFonts w:eastAsia="Calibri"/>
          <w:sz w:val="22"/>
          <w:szCs w:val="22"/>
        </w:rPr>
      </w:pPr>
      <w:r>
        <w:rPr>
          <w:rFonts w:eastAsia="Calibri"/>
          <w:sz w:val="22"/>
          <w:szCs w:val="22"/>
        </w:rPr>
        <w:tab/>
      </w:r>
    </w:p>
    <w:p w14:paraId="5D292F74" w14:textId="77777777" w:rsidR="00E74C1E" w:rsidRPr="005310FD" w:rsidRDefault="00E74C1E" w:rsidP="00380272">
      <w:pPr>
        <w:pStyle w:val="TextosemFormatao"/>
        <w:spacing w:beforeAutospacing="0" w:afterAutospacing="0"/>
        <w:rPr>
          <w:rFonts w:ascii="Times New Roman" w:hAnsi="Times New Roman"/>
          <w:b/>
          <w:sz w:val="22"/>
          <w:szCs w:val="22"/>
          <w:lang w:val="en-US"/>
        </w:rPr>
      </w:pPr>
      <w:r w:rsidRPr="005310FD">
        <w:rPr>
          <w:rFonts w:ascii="Times New Roman" w:hAnsi="Times New Roman"/>
          <w:b/>
          <w:sz w:val="22"/>
          <w:szCs w:val="22"/>
          <w:lang w:val="en-US"/>
        </w:rPr>
        <w:t xml:space="preserve">REFERÊNCIAS </w:t>
      </w:r>
    </w:p>
    <w:p w14:paraId="100E4F35" w14:textId="77777777" w:rsidR="00557C60" w:rsidRDefault="00557C60" w:rsidP="00557C60">
      <w:pPr>
        <w:pStyle w:val="Default"/>
        <w:ind w:left="284" w:hanging="284"/>
        <w:jc w:val="both"/>
        <w:rPr>
          <w:color w:val="auto"/>
          <w:sz w:val="22"/>
          <w:szCs w:val="22"/>
          <w:lang w:val="en-US"/>
        </w:rPr>
      </w:pPr>
      <w:r w:rsidRPr="005C511B">
        <w:rPr>
          <w:color w:val="auto"/>
          <w:sz w:val="22"/>
          <w:szCs w:val="22"/>
          <w:lang w:val="en-US"/>
        </w:rPr>
        <w:t xml:space="preserve">BOX, G.E.P.; COX, D.R. An Analysis </w:t>
      </w:r>
      <w:proofErr w:type="gramStart"/>
      <w:r w:rsidRPr="005C511B">
        <w:rPr>
          <w:color w:val="auto"/>
          <w:sz w:val="22"/>
          <w:szCs w:val="22"/>
          <w:lang w:val="en-US"/>
        </w:rPr>
        <w:t>of  Transformations</w:t>
      </w:r>
      <w:proofErr w:type="gramEnd"/>
      <w:r w:rsidRPr="005C511B">
        <w:rPr>
          <w:color w:val="auto"/>
          <w:sz w:val="22"/>
          <w:szCs w:val="22"/>
          <w:lang w:val="en-US"/>
        </w:rPr>
        <w:t>. Journal of the Royal Statistical Society, v.26, n.2,    p.211-252, 1964.</w:t>
      </w:r>
    </w:p>
    <w:p w14:paraId="10016479" w14:textId="77777777" w:rsidR="001625AF" w:rsidRPr="00745BE1" w:rsidRDefault="001625AF" w:rsidP="001625AF">
      <w:pPr>
        <w:autoSpaceDE w:val="0"/>
        <w:autoSpaceDN w:val="0"/>
        <w:adjustRightInd w:val="0"/>
        <w:ind w:left="284" w:hanging="284"/>
        <w:jc w:val="both"/>
        <w:rPr>
          <w:sz w:val="22"/>
          <w:szCs w:val="22"/>
          <w:lang w:val="en-US"/>
        </w:rPr>
      </w:pPr>
      <w:r w:rsidRPr="00503D3B">
        <w:rPr>
          <w:sz w:val="22"/>
          <w:szCs w:val="22"/>
          <w:lang w:val="en-US"/>
        </w:rPr>
        <w:t xml:space="preserve">MITCHELL, J. D.; DALY, D. C. A revision of </w:t>
      </w:r>
      <w:r w:rsidRPr="00503D3B">
        <w:rPr>
          <w:i/>
          <w:iCs/>
          <w:sz w:val="22"/>
          <w:szCs w:val="22"/>
          <w:lang w:val="en-US"/>
        </w:rPr>
        <w:t xml:space="preserve">Spondias </w:t>
      </w:r>
      <w:r w:rsidRPr="00503D3B">
        <w:rPr>
          <w:sz w:val="22"/>
          <w:szCs w:val="22"/>
          <w:lang w:val="en-US"/>
        </w:rPr>
        <w:t>L. (</w:t>
      </w:r>
      <w:proofErr w:type="spellStart"/>
      <w:r w:rsidRPr="00503D3B">
        <w:rPr>
          <w:sz w:val="22"/>
          <w:szCs w:val="22"/>
          <w:lang w:val="en-US"/>
        </w:rPr>
        <w:t>Anacardiaceae</w:t>
      </w:r>
      <w:proofErr w:type="spellEnd"/>
      <w:r w:rsidRPr="00503D3B">
        <w:rPr>
          <w:sz w:val="22"/>
          <w:szCs w:val="22"/>
          <w:lang w:val="en-US"/>
        </w:rPr>
        <w:t xml:space="preserve">) in the neotropics. </w:t>
      </w:r>
      <w:proofErr w:type="spellStart"/>
      <w:r w:rsidRPr="00745BE1">
        <w:rPr>
          <w:b/>
          <w:bCs/>
          <w:sz w:val="22"/>
          <w:szCs w:val="22"/>
          <w:lang w:val="en-US"/>
        </w:rPr>
        <w:t>Phytokeys</w:t>
      </w:r>
      <w:proofErr w:type="spellEnd"/>
      <w:r w:rsidRPr="00745BE1">
        <w:rPr>
          <w:sz w:val="22"/>
          <w:szCs w:val="22"/>
          <w:lang w:val="en-US"/>
        </w:rPr>
        <w:t>, v. 55, p. 1-92, 2015.</w:t>
      </w:r>
    </w:p>
    <w:p w14:paraId="20781C9F" w14:textId="77777777" w:rsidR="00557C60" w:rsidRPr="00FD24B0" w:rsidRDefault="00557C60" w:rsidP="00557C60">
      <w:pPr>
        <w:pStyle w:val="Default"/>
        <w:ind w:left="284" w:hanging="284"/>
        <w:jc w:val="both"/>
        <w:rPr>
          <w:color w:val="auto"/>
          <w:sz w:val="22"/>
          <w:szCs w:val="22"/>
          <w:lang w:val="en-US"/>
        </w:rPr>
      </w:pPr>
      <w:r w:rsidRPr="00FD24B0">
        <w:rPr>
          <w:color w:val="auto"/>
          <w:sz w:val="22"/>
          <w:szCs w:val="22"/>
          <w:lang w:val="en-US"/>
        </w:rPr>
        <w:t>R CORE TEAM (2022). R: A language and environment for statistical computing. R Foundation for Statistical Computing, Vienna, Austria. URL https://www.R-project.org/.</w:t>
      </w:r>
    </w:p>
    <w:p w14:paraId="3AEECF1D" w14:textId="77777777" w:rsidR="00557C60" w:rsidRPr="00FD24B0" w:rsidRDefault="009606C2" w:rsidP="00557C60">
      <w:pPr>
        <w:pStyle w:val="Default"/>
        <w:ind w:left="284" w:hanging="284"/>
        <w:jc w:val="both"/>
        <w:rPr>
          <w:color w:val="auto"/>
          <w:sz w:val="22"/>
          <w:szCs w:val="22"/>
        </w:rPr>
      </w:pPr>
      <w:r w:rsidRPr="00FD24B0">
        <w:rPr>
          <w:color w:val="auto"/>
          <w:sz w:val="22"/>
          <w:szCs w:val="22"/>
        </w:rPr>
        <w:t xml:space="preserve">SOUZA, F. X. de. </w:t>
      </w:r>
      <w:r w:rsidR="00063564" w:rsidRPr="00FD24B0">
        <w:rPr>
          <w:color w:val="auto"/>
          <w:sz w:val="22"/>
          <w:szCs w:val="22"/>
        </w:rPr>
        <w:t>e</w:t>
      </w:r>
      <w:r w:rsidRPr="00FD24B0">
        <w:rPr>
          <w:color w:val="auto"/>
          <w:sz w:val="22"/>
          <w:szCs w:val="22"/>
        </w:rPr>
        <w:t>t al. Comportamento vegetativo e reprodutivo de clones de cajazeira cultivados na Chapada do Apodi, Ceará. Revista Ciência Agronômica, v.</w:t>
      </w:r>
      <w:r w:rsidR="00063564" w:rsidRPr="00FD24B0">
        <w:rPr>
          <w:color w:val="auto"/>
          <w:sz w:val="22"/>
          <w:szCs w:val="22"/>
        </w:rPr>
        <w:t>43</w:t>
      </w:r>
      <w:r w:rsidRPr="00FD24B0">
        <w:rPr>
          <w:color w:val="auto"/>
          <w:sz w:val="22"/>
          <w:szCs w:val="22"/>
        </w:rPr>
        <w:t>, n.2, p.2</w:t>
      </w:r>
      <w:r w:rsidR="00063564" w:rsidRPr="00FD24B0">
        <w:rPr>
          <w:color w:val="auto"/>
          <w:sz w:val="22"/>
          <w:szCs w:val="22"/>
        </w:rPr>
        <w:t>93</w:t>
      </w:r>
      <w:r w:rsidRPr="00FD24B0">
        <w:rPr>
          <w:color w:val="auto"/>
          <w:sz w:val="22"/>
          <w:szCs w:val="22"/>
        </w:rPr>
        <w:t>-</w:t>
      </w:r>
      <w:r w:rsidR="00063564" w:rsidRPr="00FD24B0">
        <w:rPr>
          <w:color w:val="auto"/>
          <w:sz w:val="22"/>
          <w:szCs w:val="22"/>
        </w:rPr>
        <w:t>300</w:t>
      </w:r>
      <w:r w:rsidRPr="00FD24B0">
        <w:rPr>
          <w:color w:val="auto"/>
          <w:sz w:val="22"/>
          <w:szCs w:val="22"/>
        </w:rPr>
        <w:t>,</w:t>
      </w:r>
      <w:r w:rsidR="00063564" w:rsidRPr="00FD24B0">
        <w:rPr>
          <w:color w:val="auto"/>
          <w:sz w:val="22"/>
          <w:szCs w:val="22"/>
        </w:rPr>
        <w:t xml:space="preserve"> </w:t>
      </w:r>
      <w:proofErr w:type="spellStart"/>
      <w:r w:rsidR="00063564" w:rsidRPr="00FD24B0">
        <w:rPr>
          <w:color w:val="auto"/>
          <w:sz w:val="22"/>
          <w:szCs w:val="22"/>
        </w:rPr>
        <w:t>abr-jun</w:t>
      </w:r>
      <w:proofErr w:type="spellEnd"/>
      <w:r w:rsidR="00063564" w:rsidRPr="00FD24B0">
        <w:rPr>
          <w:color w:val="auto"/>
          <w:sz w:val="22"/>
          <w:szCs w:val="22"/>
        </w:rPr>
        <w:t>, 2012.</w:t>
      </w:r>
    </w:p>
    <w:p w14:paraId="768C4CB8" w14:textId="77777777" w:rsidR="00FD24B0" w:rsidRDefault="005310FD" w:rsidP="005310FD">
      <w:pPr>
        <w:pStyle w:val="Default"/>
        <w:ind w:left="284" w:hanging="284"/>
        <w:jc w:val="both"/>
        <w:rPr>
          <w:color w:val="auto"/>
          <w:sz w:val="22"/>
          <w:szCs w:val="22"/>
        </w:rPr>
      </w:pPr>
      <w:r w:rsidRPr="00FD24B0">
        <w:rPr>
          <w:color w:val="auto"/>
          <w:sz w:val="22"/>
          <w:szCs w:val="22"/>
        </w:rPr>
        <w:t>VASCONCELOS, L. F. L. et al.</w:t>
      </w:r>
      <w:r w:rsidR="00FD24B0">
        <w:rPr>
          <w:color w:val="auto"/>
          <w:sz w:val="22"/>
          <w:szCs w:val="22"/>
        </w:rPr>
        <w:t xml:space="preserve"> Características físicas e físico-químicas de frutos de cajazeiras da coleção de germoplasma da Embrapa Meio-Norte. In: CONGRESSO BRASILEIRO DE FRUTICULTURA, 21., 2010, Natal. Frutas: saúde, inovação e responsabilidade: anais. Sociedade Brasileira de Fruticultura, 2010.</w:t>
      </w:r>
    </w:p>
    <w:p w14:paraId="7F683017" w14:textId="77777777" w:rsidR="005310FD" w:rsidRPr="005C511B" w:rsidRDefault="005310FD" w:rsidP="00557C60">
      <w:pPr>
        <w:pStyle w:val="Default"/>
        <w:ind w:left="284" w:hanging="284"/>
        <w:jc w:val="both"/>
        <w:rPr>
          <w:color w:val="auto"/>
          <w:sz w:val="22"/>
          <w:szCs w:val="22"/>
          <w:lang w:val="en-US"/>
        </w:rPr>
      </w:pPr>
    </w:p>
    <w:sectPr w:rsidR="005310FD" w:rsidRPr="005C511B" w:rsidSect="006239A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9461" w14:textId="77777777" w:rsidR="00C12790" w:rsidRDefault="00C12790">
      <w:r>
        <w:separator/>
      </w:r>
    </w:p>
  </w:endnote>
  <w:endnote w:type="continuationSeparator" w:id="0">
    <w:p w14:paraId="2BAC3A2F" w14:textId="77777777" w:rsidR="00C12790" w:rsidRDefault="00C1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5B7"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4"/>
      <w:gridCol w:w="5587"/>
    </w:tblGrid>
    <w:tr w:rsidR="00691D2C" w14:paraId="79F94031" w14:textId="77777777" w:rsidTr="007010AA">
      <w:trPr>
        <w:trHeight w:val="849"/>
      </w:trPr>
      <w:tc>
        <w:tcPr>
          <w:tcW w:w="4605" w:type="dxa"/>
          <w:shd w:val="clear" w:color="auto" w:fill="auto"/>
          <w:vAlign w:val="center"/>
        </w:tcPr>
        <w:p w14:paraId="3498B0EC" w14:textId="77777777" w:rsidR="00691D2C" w:rsidRDefault="0086081C" w:rsidP="007010AA">
          <w:pPr>
            <w:pStyle w:val="Rodap"/>
            <w:jc w:val="center"/>
          </w:pPr>
          <w:r>
            <w:rPr>
              <w:noProof/>
            </w:rPr>
            <w:drawing>
              <wp:inline distT="0" distB="0" distL="0" distR="0" wp14:anchorId="5825E3D0" wp14:editId="40A18E3C">
                <wp:extent cx="2156460" cy="45021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56460" cy="450215"/>
                        </a:xfrm>
                        <a:prstGeom prst="rect">
                          <a:avLst/>
                        </a:prstGeom>
                        <a:noFill/>
                        <a:ln w="9525">
                          <a:noFill/>
                          <a:miter lim="800000"/>
                          <a:headEnd/>
                          <a:tailEnd/>
                        </a:ln>
                      </pic:spPr>
                    </pic:pic>
                  </a:graphicData>
                </a:graphic>
              </wp:inline>
            </w:drawing>
          </w:r>
        </w:p>
      </w:tc>
      <w:tc>
        <w:tcPr>
          <w:tcW w:w="4606" w:type="dxa"/>
          <w:shd w:val="clear" w:color="auto" w:fill="auto"/>
          <w:vAlign w:val="center"/>
        </w:tcPr>
        <w:p w14:paraId="60C829D2" w14:textId="77777777" w:rsidR="00691D2C" w:rsidRDefault="0086081C" w:rsidP="007010AA">
          <w:pPr>
            <w:pStyle w:val="Rodap"/>
            <w:jc w:val="center"/>
          </w:pPr>
          <w:r>
            <w:rPr>
              <w:noProof/>
            </w:rPr>
            <w:drawing>
              <wp:inline distT="0" distB="0" distL="0" distR="0" wp14:anchorId="10DA6E50" wp14:editId="26C6B6BA">
                <wp:extent cx="3541395" cy="334645"/>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541395" cy="334645"/>
                        </a:xfrm>
                        <a:prstGeom prst="rect">
                          <a:avLst/>
                        </a:prstGeom>
                        <a:noFill/>
                        <a:ln w="9525">
                          <a:noFill/>
                          <a:miter lim="800000"/>
                          <a:headEnd/>
                          <a:tailEnd/>
                        </a:ln>
                      </pic:spPr>
                    </pic:pic>
                  </a:graphicData>
                </a:graphic>
              </wp:inline>
            </w:drawing>
          </w:r>
        </w:p>
      </w:tc>
    </w:tr>
  </w:tbl>
  <w:p w14:paraId="6A208F02"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4"/>
      <w:gridCol w:w="5587"/>
    </w:tblGrid>
    <w:tr w:rsidR="00691D2C" w14:paraId="234EA4D0" w14:textId="77777777" w:rsidTr="007010AA">
      <w:trPr>
        <w:trHeight w:val="849"/>
      </w:trPr>
      <w:tc>
        <w:tcPr>
          <w:tcW w:w="4605" w:type="dxa"/>
          <w:shd w:val="clear" w:color="auto" w:fill="auto"/>
          <w:vAlign w:val="center"/>
        </w:tcPr>
        <w:p w14:paraId="1218982F" w14:textId="77777777" w:rsidR="00691D2C" w:rsidRDefault="0086081C" w:rsidP="007010AA">
          <w:pPr>
            <w:pStyle w:val="Rodap"/>
            <w:jc w:val="center"/>
          </w:pPr>
          <w:r>
            <w:rPr>
              <w:noProof/>
            </w:rPr>
            <w:drawing>
              <wp:inline distT="0" distB="0" distL="0" distR="0" wp14:anchorId="4E4BF818" wp14:editId="53798310">
                <wp:extent cx="2156460" cy="45021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156460" cy="450215"/>
                        </a:xfrm>
                        <a:prstGeom prst="rect">
                          <a:avLst/>
                        </a:prstGeom>
                        <a:noFill/>
                        <a:ln w="9525">
                          <a:noFill/>
                          <a:miter lim="800000"/>
                          <a:headEnd/>
                          <a:tailEnd/>
                        </a:ln>
                      </pic:spPr>
                    </pic:pic>
                  </a:graphicData>
                </a:graphic>
              </wp:inline>
            </w:drawing>
          </w:r>
        </w:p>
      </w:tc>
      <w:tc>
        <w:tcPr>
          <w:tcW w:w="4606" w:type="dxa"/>
          <w:shd w:val="clear" w:color="auto" w:fill="auto"/>
          <w:vAlign w:val="center"/>
        </w:tcPr>
        <w:p w14:paraId="5492EB03" w14:textId="77777777" w:rsidR="00691D2C" w:rsidRDefault="0086081C" w:rsidP="007010AA">
          <w:pPr>
            <w:pStyle w:val="Rodap"/>
            <w:jc w:val="center"/>
          </w:pPr>
          <w:r>
            <w:rPr>
              <w:noProof/>
            </w:rPr>
            <w:drawing>
              <wp:inline distT="0" distB="0" distL="0" distR="0" wp14:anchorId="77A5EE8D" wp14:editId="33BD8D16">
                <wp:extent cx="3541395" cy="334645"/>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3541395" cy="334645"/>
                        </a:xfrm>
                        <a:prstGeom prst="rect">
                          <a:avLst/>
                        </a:prstGeom>
                        <a:noFill/>
                        <a:ln w="9525">
                          <a:noFill/>
                          <a:miter lim="800000"/>
                          <a:headEnd/>
                          <a:tailEnd/>
                        </a:ln>
                      </pic:spPr>
                    </pic:pic>
                  </a:graphicData>
                </a:graphic>
              </wp:inline>
            </w:drawing>
          </w:r>
        </w:p>
      </w:tc>
    </w:tr>
  </w:tbl>
  <w:p w14:paraId="1B15876C"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4808" w14:textId="77777777" w:rsidR="00C12790" w:rsidRDefault="00C12790">
      <w:r>
        <w:separator/>
      </w:r>
    </w:p>
  </w:footnote>
  <w:footnote w:type="continuationSeparator" w:id="0">
    <w:p w14:paraId="0C1B581C" w14:textId="77777777" w:rsidR="00C12790" w:rsidRDefault="00C1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2EEA"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C01" w14:textId="77777777" w:rsidR="00691D2C" w:rsidRDefault="0086081C" w:rsidP="00691D2C">
    <w:pPr>
      <w:pStyle w:val="Cabealho"/>
      <w:jc w:val="center"/>
    </w:pPr>
    <w:r>
      <w:rPr>
        <w:noProof/>
      </w:rPr>
      <w:drawing>
        <wp:inline distT="0" distB="0" distL="0" distR="0" wp14:anchorId="69CB81F2" wp14:editId="3F45143B">
          <wp:extent cx="3630295" cy="7645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19753" b="27983"/>
                  <a:stretch>
                    <a:fillRect/>
                  </a:stretch>
                </pic:blipFill>
                <pic:spPr bwMode="auto">
                  <a:xfrm>
                    <a:off x="0" y="0"/>
                    <a:ext cx="3630295" cy="764540"/>
                  </a:xfrm>
                  <a:prstGeom prst="rect">
                    <a:avLst/>
                  </a:prstGeom>
                  <a:noFill/>
                  <a:ln w="9525">
                    <a:noFill/>
                    <a:miter lim="800000"/>
                    <a:headEnd/>
                    <a:tailEnd/>
                  </a:ln>
                </pic:spPr>
              </pic:pic>
            </a:graphicData>
          </a:graphic>
        </wp:inline>
      </w:drawing>
    </w:r>
  </w:p>
  <w:p w14:paraId="195417F7"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DFA6" w14:textId="77777777" w:rsidR="000E5C33" w:rsidRDefault="0086081C" w:rsidP="00691D2C">
    <w:pPr>
      <w:pStyle w:val="Cabealho"/>
      <w:jc w:val="center"/>
    </w:pPr>
    <w:r>
      <w:rPr>
        <w:noProof/>
      </w:rPr>
      <w:drawing>
        <wp:inline distT="0" distB="0" distL="0" distR="0" wp14:anchorId="305CB1DF" wp14:editId="6F20899B">
          <wp:extent cx="3630295" cy="7645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9753" b="27983"/>
                  <a:stretch>
                    <a:fillRect/>
                  </a:stretch>
                </pic:blipFill>
                <pic:spPr bwMode="auto">
                  <a:xfrm>
                    <a:off x="0" y="0"/>
                    <a:ext cx="3630295" cy="764540"/>
                  </a:xfrm>
                  <a:prstGeom prst="rect">
                    <a:avLst/>
                  </a:prstGeom>
                  <a:noFill/>
                  <a:ln w="9525">
                    <a:noFill/>
                    <a:miter lim="800000"/>
                    <a:headEnd/>
                    <a:tailEnd/>
                  </a:ln>
                </pic:spPr>
              </pic:pic>
            </a:graphicData>
          </a:graphic>
        </wp:inline>
      </w:drawing>
    </w:r>
  </w:p>
  <w:p w14:paraId="16E4CD55"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DD"/>
    <w:rsid w:val="0000058A"/>
    <w:rsid w:val="00002FF4"/>
    <w:rsid w:val="00007BF5"/>
    <w:rsid w:val="000115A3"/>
    <w:rsid w:val="000143D7"/>
    <w:rsid w:val="00014534"/>
    <w:rsid w:val="00015B60"/>
    <w:rsid w:val="00020CBE"/>
    <w:rsid w:val="00022D0B"/>
    <w:rsid w:val="000256A4"/>
    <w:rsid w:val="00030F47"/>
    <w:rsid w:val="00030F92"/>
    <w:rsid w:val="00031AA0"/>
    <w:rsid w:val="00031C22"/>
    <w:rsid w:val="00031C75"/>
    <w:rsid w:val="0003314F"/>
    <w:rsid w:val="00036D0E"/>
    <w:rsid w:val="00040B3A"/>
    <w:rsid w:val="00046884"/>
    <w:rsid w:val="0005714A"/>
    <w:rsid w:val="000611A5"/>
    <w:rsid w:val="00063564"/>
    <w:rsid w:val="0006391F"/>
    <w:rsid w:val="00064CB9"/>
    <w:rsid w:val="000665C4"/>
    <w:rsid w:val="00077E8D"/>
    <w:rsid w:val="000807C9"/>
    <w:rsid w:val="000B0828"/>
    <w:rsid w:val="000B2226"/>
    <w:rsid w:val="000B27CE"/>
    <w:rsid w:val="000B68FC"/>
    <w:rsid w:val="000B6B96"/>
    <w:rsid w:val="000C5CFA"/>
    <w:rsid w:val="000D0CA6"/>
    <w:rsid w:val="000D2364"/>
    <w:rsid w:val="000D3765"/>
    <w:rsid w:val="000D387B"/>
    <w:rsid w:val="000D4A70"/>
    <w:rsid w:val="000E078A"/>
    <w:rsid w:val="000E0BAA"/>
    <w:rsid w:val="000E5C33"/>
    <w:rsid w:val="000F16C5"/>
    <w:rsid w:val="000F22D6"/>
    <w:rsid w:val="000F2346"/>
    <w:rsid w:val="000F294D"/>
    <w:rsid w:val="001003ED"/>
    <w:rsid w:val="00102D6D"/>
    <w:rsid w:val="00103D6C"/>
    <w:rsid w:val="001045BA"/>
    <w:rsid w:val="00104813"/>
    <w:rsid w:val="00105C9B"/>
    <w:rsid w:val="00107811"/>
    <w:rsid w:val="0011093A"/>
    <w:rsid w:val="00111469"/>
    <w:rsid w:val="00113D9F"/>
    <w:rsid w:val="00113EC9"/>
    <w:rsid w:val="00114EE2"/>
    <w:rsid w:val="00120B27"/>
    <w:rsid w:val="00121F49"/>
    <w:rsid w:val="0012528B"/>
    <w:rsid w:val="0012588F"/>
    <w:rsid w:val="00135E02"/>
    <w:rsid w:val="0013606C"/>
    <w:rsid w:val="001403C3"/>
    <w:rsid w:val="001549BA"/>
    <w:rsid w:val="00157386"/>
    <w:rsid w:val="00160C42"/>
    <w:rsid w:val="001625AF"/>
    <w:rsid w:val="00162A59"/>
    <w:rsid w:val="00165C51"/>
    <w:rsid w:val="00170E1B"/>
    <w:rsid w:val="0017235A"/>
    <w:rsid w:val="00173A2D"/>
    <w:rsid w:val="001751BC"/>
    <w:rsid w:val="001808CA"/>
    <w:rsid w:val="00180C1A"/>
    <w:rsid w:val="001813B6"/>
    <w:rsid w:val="00183167"/>
    <w:rsid w:val="00186968"/>
    <w:rsid w:val="00187485"/>
    <w:rsid w:val="00187604"/>
    <w:rsid w:val="001901C1"/>
    <w:rsid w:val="00195A3E"/>
    <w:rsid w:val="001A5BA0"/>
    <w:rsid w:val="001A77CC"/>
    <w:rsid w:val="001B0846"/>
    <w:rsid w:val="001B0BDB"/>
    <w:rsid w:val="001B4FCE"/>
    <w:rsid w:val="001B5B60"/>
    <w:rsid w:val="001B7ADB"/>
    <w:rsid w:val="001C3107"/>
    <w:rsid w:val="001C3B1E"/>
    <w:rsid w:val="001C696E"/>
    <w:rsid w:val="001C72BE"/>
    <w:rsid w:val="001C7930"/>
    <w:rsid w:val="001D0FF4"/>
    <w:rsid w:val="001D1BFE"/>
    <w:rsid w:val="001E2B04"/>
    <w:rsid w:val="001E2F98"/>
    <w:rsid w:val="001E6C02"/>
    <w:rsid w:val="001E78BA"/>
    <w:rsid w:val="001F0565"/>
    <w:rsid w:val="001F074C"/>
    <w:rsid w:val="001F1C78"/>
    <w:rsid w:val="0020459D"/>
    <w:rsid w:val="0020696C"/>
    <w:rsid w:val="002074D6"/>
    <w:rsid w:val="002115F3"/>
    <w:rsid w:val="00211A1D"/>
    <w:rsid w:val="0021230B"/>
    <w:rsid w:val="00215271"/>
    <w:rsid w:val="00215368"/>
    <w:rsid w:val="00215B04"/>
    <w:rsid w:val="00217832"/>
    <w:rsid w:val="00230277"/>
    <w:rsid w:val="00235CCC"/>
    <w:rsid w:val="002435AB"/>
    <w:rsid w:val="00251CA2"/>
    <w:rsid w:val="00252D33"/>
    <w:rsid w:val="00254219"/>
    <w:rsid w:val="002549A2"/>
    <w:rsid w:val="00257F38"/>
    <w:rsid w:val="00263D21"/>
    <w:rsid w:val="0026485E"/>
    <w:rsid w:val="002670E6"/>
    <w:rsid w:val="0026715B"/>
    <w:rsid w:val="00272C04"/>
    <w:rsid w:val="002763AA"/>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C4F7C"/>
    <w:rsid w:val="002D3DE5"/>
    <w:rsid w:val="002D3E20"/>
    <w:rsid w:val="002D4D50"/>
    <w:rsid w:val="002D7202"/>
    <w:rsid w:val="002E1BEA"/>
    <w:rsid w:val="002F4AD3"/>
    <w:rsid w:val="00304210"/>
    <w:rsid w:val="00304ACD"/>
    <w:rsid w:val="003129A0"/>
    <w:rsid w:val="003151E7"/>
    <w:rsid w:val="00321987"/>
    <w:rsid w:val="00326F14"/>
    <w:rsid w:val="00336586"/>
    <w:rsid w:val="003371C3"/>
    <w:rsid w:val="003412C2"/>
    <w:rsid w:val="00341521"/>
    <w:rsid w:val="00344AA8"/>
    <w:rsid w:val="00347789"/>
    <w:rsid w:val="003507A3"/>
    <w:rsid w:val="003508B6"/>
    <w:rsid w:val="00351DA5"/>
    <w:rsid w:val="00355B87"/>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57AE"/>
    <w:rsid w:val="003C5C94"/>
    <w:rsid w:val="003C7313"/>
    <w:rsid w:val="003D05A0"/>
    <w:rsid w:val="003D3A56"/>
    <w:rsid w:val="003E27A1"/>
    <w:rsid w:val="003E73B2"/>
    <w:rsid w:val="003F150A"/>
    <w:rsid w:val="003F165D"/>
    <w:rsid w:val="003F1A67"/>
    <w:rsid w:val="003F3725"/>
    <w:rsid w:val="003F4681"/>
    <w:rsid w:val="003F49E4"/>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3ED0"/>
    <w:rsid w:val="004449C6"/>
    <w:rsid w:val="00445880"/>
    <w:rsid w:val="00446860"/>
    <w:rsid w:val="00446C8A"/>
    <w:rsid w:val="00446D3A"/>
    <w:rsid w:val="00460F42"/>
    <w:rsid w:val="004656D7"/>
    <w:rsid w:val="004774F8"/>
    <w:rsid w:val="00477768"/>
    <w:rsid w:val="00480EE5"/>
    <w:rsid w:val="00481820"/>
    <w:rsid w:val="004822E1"/>
    <w:rsid w:val="004903B2"/>
    <w:rsid w:val="00490EAC"/>
    <w:rsid w:val="004A09A0"/>
    <w:rsid w:val="004A4300"/>
    <w:rsid w:val="004A78C8"/>
    <w:rsid w:val="004A7ADE"/>
    <w:rsid w:val="004B1B8B"/>
    <w:rsid w:val="004B50D9"/>
    <w:rsid w:val="004C0288"/>
    <w:rsid w:val="004C0794"/>
    <w:rsid w:val="004C0C8B"/>
    <w:rsid w:val="004C25C9"/>
    <w:rsid w:val="004C4A01"/>
    <w:rsid w:val="004C4A47"/>
    <w:rsid w:val="004D050A"/>
    <w:rsid w:val="004D2845"/>
    <w:rsid w:val="004E1B2A"/>
    <w:rsid w:val="004E2311"/>
    <w:rsid w:val="004E566E"/>
    <w:rsid w:val="004F1B65"/>
    <w:rsid w:val="004F1E8F"/>
    <w:rsid w:val="004F59C0"/>
    <w:rsid w:val="004F6C8E"/>
    <w:rsid w:val="004F6E7E"/>
    <w:rsid w:val="004F7F6D"/>
    <w:rsid w:val="005022AD"/>
    <w:rsid w:val="005033DD"/>
    <w:rsid w:val="005051B1"/>
    <w:rsid w:val="00505AC5"/>
    <w:rsid w:val="00513668"/>
    <w:rsid w:val="00514D95"/>
    <w:rsid w:val="005208E0"/>
    <w:rsid w:val="00520DC9"/>
    <w:rsid w:val="0052318E"/>
    <w:rsid w:val="0052335F"/>
    <w:rsid w:val="005242BC"/>
    <w:rsid w:val="005252AF"/>
    <w:rsid w:val="005310FD"/>
    <w:rsid w:val="005330E9"/>
    <w:rsid w:val="005412B8"/>
    <w:rsid w:val="005414AE"/>
    <w:rsid w:val="00541634"/>
    <w:rsid w:val="00541EB0"/>
    <w:rsid w:val="00543552"/>
    <w:rsid w:val="00545562"/>
    <w:rsid w:val="00557C60"/>
    <w:rsid w:val="00563D49"/>
    <w:rsid w:val="005658E5"/>
    <w:rsid w:val="00572076"/>
    <w:rsid w:val="00583B44"/>
    <w:rsid w:val="00596B37"/>
    <w:rsid w:val="005B0E11"/>
    <w:rsid w:val="005B268D"/>
    <w:rsid w:val="005B4ABF"/>
    <w:rsid w:val="005B4C2A"/>
    <w:rsid w:val="005C1645"/>
    <w:rsid w:val="005C511B"/>
    <w:rsid w:val="005D48C9"/>
    <w:rsid w:val="005E66E5"/>
    <w:rsid w:val="00601DB7"/>
    <w:rsid w:val="00602496"/>
    <w:rsid w:val="00605E89"/>
    <w:rsid w:val="00607E77"/>
    <w:rsid w:val="006110A0"/>
    <w:rsid w:val="00611409"/>
    <w:rsid w:val="006126D9"/>
    <w:rsid w:val="00620A30"/>
    <w:rsid w:val="006239A5"/>
    <w:rsid w:val="00625041"/>
    <w:rsid w:val="00625B34"/>
    <w:rsid w:val="00627F87"/>
    <w:rsid w:val="0063051F"/>
    <w:rsid w:val="006360A8"/>
    <w:rsid w:val="00637B4C"/>
    <w:rsid w:val="00645632"/>
    <w:rsid w:val="0064796B"/>
    <w:rsid w:val="00655EA1"/>
    <w:rsid w:val="006611A3"/>
    <w:rsid w:val="0066158A"/>
    <w:rsid w:val="0066176E"/>
    <w:rsid w:val="00662768"/>
    <w:rsid w:val="00666328"/>
    <w:rsid w:val="006673CA"/>
    <w:rsid w:val="00667EC0"/>
    <w:rsid w:val="0067252E"/>
    <w:rsid w:val="00673440"/>
    <w:rsid w:val="0067471E"/>
    <w:rsid w:val="0067647A"/>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604F"/>
    <w:rsid w:val="006C62D8"/>
    <w:rsid w:val="006D2DD8"/>
    <w:rsid w:val="006D69DB"/>
    <w:rsid w:val="006D714C"/>
    <w:rsid w:val="006D7BEF"/>
    <w:rsid w:val="006E4A19"/>
    <w:rsid w:val="006E6033"/>
    <w:rsid w:val="006E767D"/>
    <w:rsid w:val="006F0E1F"/>
    <w:rsid w:val="006F18E6"/>
    <w:rsid w:val="006F5FE0"/>
    <w:rsid w:val="006F63F6"/>
    <w:rsid w:val="007010AA"/>
    <w:rsid w:val="0070327F"/>
    <w:rsid w:val="00711EF0"/>
    <w:rsid w:val="007145D1"/>
    <w:rsid w:val="007248A3"/>
    <w:rsid w:val="00724DA9"/>
    <w:rsid w:val="007324AD"/>
    <w:rsid w:val="007338A5"/>
    <w:rsid w:val="00737322"/>
    <w:rsid w:val="00737752"/>
    <w:rsid w:val="00741C6A"/>
    <w:rsid w:val="0074263F"/>
    <w:rsid w:val="0074320B"/>
    <w:rsid w:val="00745766"/>
    <w:rsid w:val="00745BE1"/>
    <w:rsid w:val="00752C12"/>
    <w:rsid w:val="00764F31"/>
    <w:rsid w:val="0077341C"/>
    <w:rsid w:val="007740A8"/>
    <w:rsid w:val="00774238"/>
    <w:rsid w:val="007842DC"/>
    <w:rsid w:val="00792178"/>
    <w:rsid w:val="0079347F"/>
    <w:rsid w:val="00793CE6"/>
    <w:rsid w:val="007A0FE5"/>
    <w:rsid w:val="007A3367"/>
    <w:rsid w:val="007A6D13"/>
    <w:rsid w:val="007A6F7C"/>
    <w:rsid w:val="007B2B91"/>
    <w:rsid w:val="007B5D06"/>
    <w:rsid w:val="007C083E"/>
    <w:rsid w:val="007C4D3A"/>
    <w:rsid w:val="007C6EC5"/>
    <w:rsid w:val="007D0776"/>
    <w:rsid w:val="007D1082"/>
    <w:rsid w:val="007E6C53"/>
    <w:rsid w:val="007F3F2C"/>
    <w:rsid w:val="007F5126"/>
    <w:rsid w:val="00804EE8"/>
    <w:rsid w:val="008077D4"/>
    <w:rsid w:val="0081570E"/>
    <w:rsid w:val="00817190"/>
    <w:rsid w:val="0082080B"/>
    <w:rsid w:val="00821394"/>
    <w:rsid w:val="008219CC"/>
    <w:rsid w:val="00830E32"/>
    <w:rsid w:val="00831835"/>
    <w:rsid w:val="008431A3"/>
    <w:rsid w:val="008447E8"/>
    <w:rsid w:val="00846293"/>
    <w:rsid w:val="00847984"/>
    <w:rsid w:val="00850CFC"/>
    <w:rsid w:val="0086081C"/>
    <w:rsid w:val="00861D3E"/>
    <w:rsid w:val="00865856"/>
    <w:rsid w:val="0087058C"/>
    <w:rsid w:val="008723F4"/>
    <w:rsid w:val="008744DF"/>
    <w:rsid w:val="008A2DA1"/>
    <w:rsid w:val="008A413B"/>
    <w:rsid w:val="008A610B"/>
    <w:rsid w:val="008A6F55"/>
    <w:rsid w:val="008B4227"/>
    <w:rsid w:val="008B6E62"/>
    <w:rsid w:val="008C106E"/>
    <w:rsid w:val="008C1D5F"/>
    <w:rsid w:val="008C237F"/>
    <w:rsid w:val="008C33CD"/>
    <w:rsid w:val="008C436D"/>
    <w:rsid w:val="008D7AA5"/>
    <w:rsid w:val="008F085A"/>
    <w:rsid w:val="008F0D9F"/>
    <w:rsid w:val="008F5B84"/>
    <w:rsid w:val="008F72EA"/>
    <w:rsid w:val="009020E0"/>
    <w:rsid w:val="00903E73"/>
    <w:rsid w:val="0091208C"/>
    <w:rsid w:val="0091228C"/>
    <w:rsid w:val="009139C1"/>
    <w:rsid w:val="00913E4D"/>
    <w:rsid w:val="00913FF3"/>
    <w:rsid w:val="00917571"/>
    <w:rsid w:val="00917D1D"/>
    <w:rsid w:val="0092075D"/>
    <w:rsid w:val="009214CE"/>
    <w:rsid w:val="00922128"/>
    <w:rsid w:val="00933F95"/>
    <w:rsid w:val="00937B7C"/>
    <w:rsid w:val="00940AB9"/>
    <w:rsid w:val="0094773C"/>
    <w:rsid w:val="00953421"/>
    <w:rsid w:val="009606C2"/>
    <w:rsid w:val="0097685C"/>
    <w:rsid w:val="00976B0A"/>
    <w:rsid w:val="00981719"/>
    <w:rsid w:val="00984DAB"/>
    <w:rsid w:val="00985351"/>
    <w:rsid w:val="00987309"/>
    <w:rsid w:val="009878E2"/>
    <w:rsid w:val="00993EA8"/>
    <w:rsid w:val="009A1D67"/>
    <w:rsid w:val="009A357A"/>
    <w:rsid w:val="009A6630"/>
    <w:rsid w:val="009A742D"/>
    <w:rsid w:val="009B0229"/>
    <w:rsid w:val="009B44C1"/>
    <w:rsid w:val="009B6FAC"/>
    <w:rsid w:val="009C0B3A"/>
    <w:rsid w:val="009D3E17"/>
    <w:rsid w:val="009D606A"/>
    <w:rsid w:val="009F68BB"/>
    <w:rsid w:val="009F7F8A"/>
    <w:rsid w:val="00A0212E"/>
    <w:rsid w:val="00A237AE"/>
    <w:rsid w:val="00A2762F"/>
    <w:rsid w:val="00A35221"/>
    <w:rsid w:val="00A4006D"/>
    <w:rsid w:val="00A40B19"/>
    <w:rsid w:val="00A45400"/>
    <w:rsid w:val="00A47085"/>
    <w:rsid w:val="00A5124F"/>
    <w:rsid w:val="00A54EDE"/>
    <w:rsid w:val="00A56894"/>
    <w:rsid w:val="00A6766C"/>
    <w:rsid w:val="00A707BC"/>
    <w:rsid w:val="00A82865"/>
    <w:rsid w:val="00A856A0"/>
    <w:rsid w:val="00A95F1C"/>
    <w:rsid w:val="00A963E3"/>
    <w:rsid w:val="00A96919"/>
    <w:rsid w:val="00AA5229"/>
    <w:rsid w:val="00AA64CD"/>
    <w:rsid w:val="00AA7946"/>
    <w:rsid w:val="00AB3C69"/>
    <w:rsid w:val="00AB50E9"/>
    <w:rsid w:val="00AC1164"/>
    <w:rsid w:val="00AC175C"/>
    <w:rsid w:val="00AD3679"/>
    <w:rsid w:val="00AD4464"/>
    <w:rsid w:val="00AD72D1"/>
    <w:rsid w:val="00AE2916"/>
    <w:rsid w:val="00AE51FB"/>
    <w:rsid w:val="00AE72B4"/>
    <w:rsid w:val="00AF44BF"/>
    <w:rsid w:val="00AF645B"/>
    <w:rsid w:val="00B020F6"/>
    <w:rsid w:val="00B049F2"/>
    <w:rsid w:val="00B15FDD"/>
    <w:rsid w:val="00B21C8D"/>
    <w:rsid w:val="00B233DF"/>
    <w:rsid w:val="00B23A21"/>
    <w:rsid w:val="00B2530D"/>
    <w:rsid w:val="00B2652B"/>
    <w:rsid w:val="00B31524"/>
    <w:rsid w:val="00B45539"/>
    <w:rsid w:val="00B46D76"/>
    <w:rsid w:val="00B474D0"/>
    <w:rsid w:val="00B47DF7"/>
    <w:rsid w:val="00B5094D"/>
    <w:rsid w:val="00B57A19"/>
    <w:rsid w:val="00B715B1"/>
    <w:rsid w:val="00B71940"/>
    <w:rsid w:val="00B741AA"/>
    <w:rsid w:val="00B829A0"/>
    <w:rsid w:val="00B844A1"/>
    <w:rsid w:val="00B845B1"/>
    <w:rsid w:val="00B8735C"/>
    <w:rsid w:val="00B87E62"/>
    <w:rsid w:val="00B915BF"/>
    <w:rsid w:val="00B96481"/>
    <w:rsid w:val="00BA7C07"/>
    <w:rsid w:val="00BB1366"/>
    <w:rsid w:val="00BB217D"/>
    <w:rsid w:val="00BB3136"/>
    <w:rsid w:val="00BB35CC"/>
    <w:rsid w:val="00BD1BFF"/>
    <w:rsid w:val="00BD4CBB"/>
    <w:rsid w:val="00BD5C55"/>
    <w:rsid w:val="00BD7BE5"/>
    <w:rsid w:val="00BE0782"/>
    <w:rsid w:val="00BE328A"/>
    <w:rsid w:val="00BE427A"/>
    <w:rsid w:val="00BE42FC"/>
    <w:rsid w:val="00BE699D"/>
    <w:rsid w:val="00BF1A84"/>
    <w:rsid w:val="00BF1D65"/>
    <w:rsid w:val="00BF34CC"/>
    <w:rsid w:val="00C12790"/>
    <w:rsid w:val="00C12B30"/>
    <w:rsid w:val="00C12DD4"/>
    <w:rsid w:val="00C13314"/>
    <w:rsid w:val="00C156C4"/>
    <w:rsid w:val="00C2493A"/>
    <w:rsid w:val="00C2505D"/>
    <w:rsid w:val="00C2595F"/>
    <w:rsid w:val="00C278B9"/>
    <w:rsid w:val="00C27CDF"/>
    <w:rsid w:val="00C32D2F"/>
    <w:rsid w:val="00C350B6"/>
    <w:rsid w:val="00C437CB"/>
    <w:rsid w:val="00C44D7F"/>
    <w:rsid w:val="00C44FE1"/>
    <w:rsid w:val="00C4500C"/>
    <w:rsid w:val="00C519A8"/>
    <w:rsid w:val="00C52514"/>
    <w:rsid w:val="00C616AD"/>
    <w:rsid w:val="00C6791C"/>
    <w:rsid w:val="00C70011"/>
    <w:rsid w:val="00C7350E"/>
    <w:rsid w:val="00C804AE"/>
    <w:rsid w:val="00C83527"/>
    <w:rsid w:val="00C8680D"/>
    <w:rsid w:val="00C875D8"/>
    <w:rsid w:val="00C877CD"/>
    <w:rsid w:val="00C90A5C"/>
    <w:rsid w:val="00C9142B"/>
    <w:rsid w:val="00C92901"/>
    <w:rsid w:val="00CA02CB"/>
    <w:rsid w:val="00CA3D61"/>
    <w:rsid w:val="00CB3747"/>
    <w:rsid w:val="00CB5CDC"/>
    <w:rsid w:val="00CB65D6"/>
    <w:rsid w:val="00CC053E"/>
    <w:rsid w:val="00CC0BF6"/>
    <w:rsid w:val="00CC22AA"/>
    <w:rsid w:val="00CD00C0"/>
    <w:rsid w:val="00CD09D0"/>
    <w:rsid w:val="00CD0C6A"/>
    <w:rsid w:val="00CE42A2"/>
    <w:rsid w:val="00CE5620"/>
    <w:rsid w:val="00CE598C"/>
    <w:rsid w:val="00CF303F"/>
    <w:rsid w:val="00CF4D1D"/>
    <w:rsid w:val="00CF578B"/>
    <w:rsid w:val="00D03038"/>
    <w:rsid w:val="00D06A0C"/>
    <w:rsid w:val="00D11056"/>
    <w:rsid w:val="00D21D31"/>
    <w:rsid w:val="00D2333E"/>
    <w:rsid w:val="00D27445"/>
    <w:rsid w:val="00D2784F"/>
    <w:rsid w:val="00D27F47"/>
    <w:rsid w:val="00D30A13"/>
    <w:rsid w:val="00D30C5B"/>
    <w:rsid w:val="00D34024"/>
    <w:rsid w:val="00D34EA3"/>
    <w:rsid w:val="00D40D87"/>
    <w:rsid w:val="00D42646"/>
    <w:rsid w:val="00D4283E"/>
    <w:rsid w:val="00D46ABA"/>
    <w:rsid w:val="00D52DA9"/>
    <w:rsid w:val="00D534FF"/>
    <w:rsid w:val="00D767C4"/>
    <w:rsid w:val="00D81087"/>
    <w:rsid w:val="00D8281F"/>
    <w:rsid w:val="00D85AC0"/>
    <w:rsid w:val="00D85D60"/>
    <w:rsid w:val="00D8762A"/>
    <w:rsid w:val="00D90088"/>
    <w:rsid w:val="00D919CE"/>
    <w:rsid w:val="00DA0EF6"/>
    <w:rsid w:val="00DA381B"/>
    <w:rsid w:val="00DA3DAD"/>
    <w:rsid w:val="00DA4D23"/>
    <w:rsid w:val="00DA5942"/>
    <w:rsid w:val="00DB05C3"/>
    <w:rsid w:val="00DB3276"/>
    <w:rsid w:val="00DB5F31"/>
    <w:rsid w:val="00DD5C2D"/>
    <w:rsid w:val="00DD7657"/>
    <w:rsid w:val="00DE18D6"/>
    <w:rsid w:val="00DE4A67"/>
    <w:rsid w:val="00DF42CD"/>
    <w:rsid w:val="00DF678F"/>
    <w:rsid w:val="00DF761C"/>
    <w:rsid w:val="00E054E0"/>
    <w:rsid w:val="00E1042F"/>
    <w:rsid w:val="00E14911"/>
    <w:rsid w:val="00E1644E"/>
    <w:rsid w:val="00E16B72"/>
    <w:rsid w:val="00E35FB9"/>
    <w:rsid w:val="00E377E4"/>
    <w:rsid w:val="00E44D1B"/>
    <w:rsid w:val="00E4620E"/>
    <w:rsid w:val="00E469B7"/>
    <w:rsid w:val="00E47A45"/>
    <w:rsid w:val="00E53045"/>
    <w:rsid w:val="00E53049"/>
    <w:rsid w:val="00E5699D"/>
    <w:rsid w:val="00E56BE7"/>
    <w:rsid w:val="00E56DAA"/>
    <w:rsid w:val="00E6103D"/>
    <w:rsid w:val="00E61188"/>
    <w:rsid w:val="00E61358"/>
    <w:rsid w:val="00E62EB6"/>
    <w:rsid w:val="00E6380E"/>
    <w:rsid w:val="00E676AD"/>
    <w:rsid w:val="00E718D0"/>
    <w:rsid w:val="00E74C1E"/>
    <w:rsid w:val="00E7685C"/>
    <w:rsid w:val="00E8132B"/>
    <w:rsid w:val="00E85F73"/>
    <w:rsid w:val="00E86B6C"/>
    <w:rsid w:val="00E93BF5"/>
    <w:rsid w:val="00E97BD0"/>
    <w:rsid w:val="00EA20EF"/>
    <w:rsid w:val="00EA7168"/>
    <w:rsid w:val="00EB0FE3"/>
    <w:rsid w:val="00EB2648"/>
    <w:rsid w:val="00EB28CC"/>
    <w:rsid w:val="00EB2C09"/>
    <w:rsid w:val="00EB309E"/>
    <w:rsid w:val="00EB392D"/>
    <w:rsid w:val="00EC215E"/>
    <w:rsid w:val="00EC5652"/>
    <w:rsid w:val="00ED125E"/>
    <w:rsid w:val="00ED1400"/>
    <w:rsid w:val="00ED197C"/>
    <w:rsid w:val="00ED5CE1"/>
    <w:rsid w:val="00EE2758"/>
    <w:rsid w:val="00EE5ACA"/>
    <w:rsid w:val="00EE74EB"/>
    <w:rsid w:val="00EF5052"/>
    <w:rsid w:val="00EF6DDD"/>
    <w:rsid w:val="00F026C6"/>
    <w:rsid w:val="00F122F5"/>
    <w:rsid w:val="00F14DB5"/>
    <w:rsid w:val="00F155E1"/>
    <w:rsid w:val="00F369C9"/>
    <w:rsid w:val="00F421ED"/>
    <w:rsid w:val="00F42855"/>
    <w:rsid w:val="00F47800"/>
    <w:rsid w:val="00F57FD6"/>
    <w:rsid w:val="00F7030B"/>
    <w:rsid w:val="00F745FC"/>
    <w:rsid w:val="00F759CA"/>
    <w:rsid w:val="00F80278"/>
    <w:rsid w:val="00F813F8"/>
    <w:rsid w:val="00F81AF6"/>
    <w:rsid w:val="00F85B0C"/>
    <w:rsid w:val="00F86389"/>
    <w:rsid w:val="00F9155F"/>
    <w:rsid w:val="00F92573"/>
    <w:rsid w:val="00F92B0E"/>
    <w:rsid w:val="00F955A4"/>
    <w:rsid w:val="00F969AE"/>
    <w:rsid w:val="00FB0312"/>
    <w:rsid w:val="00FB480E"/>
    <w:rsid w:val="00FB49D8"/>
    <w:rsid w:val="00FB62BB"/>
    <w:rsid w:val="00FB6BE3"/>
    <w:rsid w:val="00FB7028"/>
    <w:rsid w:val="00FB76A8"/>
    <w:rsid w:val="00FC04DE"/>
    <w:rsid w:val="00FC0CF4"/>
    <w:rsid w:val="00FC4140"/>
    <w:rsid w:val="00FC49A5"/>
    <w:rsid w:val="00FD24B0"/>
    <w:rsid w:val="00FD60CF"/>
    <w:rsid w:val="00FE4DB1"/>
    <w:rsid w:val="00FE5A0D"/>
    <w:rsid w:val="00FF039C"/>
    <w:rsid w:val="00FF0C5C"/>
    <w:rsid w:val="00FF0EB8"/>
    <w:rsid w:val="00FF2487"/>
    <w:rsid w:val="00FF5494"/>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rPr>
  </w:style>
  <w:style w:type="character" w:customStyle="1" w:styleId="TextosemFormataoChar">
    <w:name w:val="Texto sem Formatação Char"/>
    <w:link w:val="TextosemFormatao"/>
    <w:rsid w:val="004822E1"/>
    <w:rPr>
      <w:rFonts w:ascii="Consolas" w:hAnsi="Consolas"/>
      <w:sz w:val="21"/>
      <w:szCs w:val="21"/>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uiPriority w:val="39"/>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E1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semiHidden/>
    <w:rsid w:val="00E1644E"/>
    <w:rPr>
      <w:rFonts w:ascii="Courier New" w:hAnsi="Courier New" w:cs="Courier New"/>
    </w:rPr>
  </w:style>
  <w:style w:type="character" w:customStyle="1" w:styleId="y2iqfc">
    <w:name w:val="y2iqfc"/>
    <w:basedOn w:val="Fontepargpadro"/>
    <w:rsid w:val="00E1644E"/>
  </w:style>
  <w:style w:type="character" w:customStyle="1" w:styleId="MenoPendente1">
    <w:name w:val="Menção Pendente1"/>
    <w:uiPriority w:val="99"/>
    <w:semiHidden/>
    <w:unhideWhenUsed/>
    <w:rsid w:val="00557C60"/>
    <w:rPr>
      <w:color w:val="605E5C"/>
      <w:shd w:val="clear" w:color="auto" w:fill="E1DFDD"/>
    </w:rPr>
  </w:style>
  <w:style w:type="paragraph" w:styleId="Reviso">
    <w:name w:val="Revision"/>
    <w:hidden/>
    <w:uiPriority w:val="99"/>
    <w:semiHidden/>
    <w:rsid w:val="000D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68838589">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E3AA-CC0D-43DC-8D60-59690998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CharactersWithSpaces>
  <SharedDoc>false</SharedDoc>
  <HLinks>
    <vt:vector size="6" baseType="variant">
      <vt:variant>
        <vt:i4>8126563</vt:i4>
      </vt:variant>
      <vt:variant>
        <vt:i4>0</vt:i4>
      </vt:variant>
      <vt:variant>
        <vt:i4>0</vt:i4>
      </vt:variant>
      <vt:variant>
        <vt:i4>5</vt:i4>
      </vt:variant>
      <vt:variant>
        <vt:lpwstr>http://www.inmet.gov.br/portal/index.php?r=clima/normaisClimatologicas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2023-06-30T19:48:00Z</dcterms:created>
  <dcterms:modified xsi:type="dcterms:W3CDTF">2023-06-30T19:48:00Z</dcterms:modified>
</cp:coreProperties>
</file>