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F4D7B" w:rsidRDefault="00111F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CRESCIMENTO E DESENVOLVIMENTO DA CAJAZEIRA IRRIGADA SOB RESTRIÇÃO DO SISTEMA RADICULAR, EM TERESINA, PIAUÍ</w:t>
      </w:r>
    </w:p>
    <w:p w14:paraId="00000002" w14:textId="77777777" w:rsidR="006F4D7B" w:rsidRDefault="006F4D7B">
      <w:pPr>
        <w:pBdr>
          <w:top w:val="nil"/>
          <w:left w:val="nil"/>
          <w:bottom w:val="nil"/>
          <w:right w:val="nil"/>
          <w:between w:val="nil"/>
        </w:pBdr>
        <w:ind w:right="-518"/>
        <w:jc w:val="center"/>
        <w:rPr>
          <w:b/>
          <w:color w:val="000000"/>
          <w:sz w:val="24"/>
          <w:szCs w:val="24"/>
        </w:rPr>
      </w:pPr>
    </w:p>
    <w:p w14:paraId="00000003" w14:textId="77777777" w:rsidR="006F4D7B" w:rsidRDefault="00111F01">
      <w:pPr>
        <w:jc w:val="both"/>
      </w:pPr>
      <w:r>
        <w:t>MARCOS EMANUEL DA COSTA VELOSO</w:t>
      </w:r>
      <w:r>
        <w:rPr>
          <w:vertAlign w:val="superscript"/>
        </w:rPr>
        <w:t>1</w:t>
      </w:r>
      <w:r>
        <w:t>, LÚCIO FLAVO LOPES VASCONCELOS</w:t>
      </w:r>
      <w:r>
        <w:rPr>
          <w:vertAlign w:val="superscript"/>
        </w:rPr>
        <w:t>2</w:t>
      </w:r>
      <w:r>
        <w:t>, EUGÊNIO CELSO EMÉRITO ARAÚJO</w:t>
      </w:r>
      <w:r>
        <w:rPr>
          <w:vertAlign w:val="superscript"/>
        </w:rPr>
        <w:t>3</w:t>
      </w:r>
      <w:r>
        <w:t>, MELISSA ODA SOUZA</w:t>
      </w:r>
      <w:r>
        <w:rPr>
          <w:vertAlign w:val="superscript"/>
        </w:rPr>
        <w:t>4</w:t>
      </w:r>
      <w:r>
        <w:t>, VALDEMÍCIO FERREIRA DE SOUSA</w:t>
      </w:r>
      <w:r>
        <w:rPr>
          <w:vertAlign w:val="superscript"/>
        </w:rPr>
        <w:t>5</w:t>
      </w:r>
    </w:p>
    <w:p w14:paraId="00000004" w14:textId="77777777" w:rsidR="006F4D7B" w:rsidRDefault="006F4D7B">
      <w:pPr>
        <w:ind w:right="-518"/>
        <w:jc w:val="center"/>
      </w:pPr>
    </w:p>
    <w:p w14:paraId="00000005" w14:textId="77777777" w:rsidR="006F4D7B" w:rsidRDefault="00111F01">
      <w:pPr>
        <w:jc w:val="both"/>
        <w:rPr>
          <w:color w:val="000000"/>
        </w:rPr>
      </w:pPr>
      <w:r>
        <w:rPr>
          <w:vertAlign w:val="superscript"/>
        </w:rPr>
        <w:t>1</w:t>
      </w:r>
      <w:r>
        <w:t>Dr. Pesquisador da Embrapa Meio-Norte, Teresina, PI, marcos.emanuel@embrapa.br;</w:t>
      </w:r>
    </w:p>
    <w:p w14:paraId="00000006" w14:textId="77777777" w:rsidR="006F4D7B" w:rsidRDefault="00111F01">
      <w:pPr>
        <w:jc w:val="both"/>
      </w:pPr>
      <w:r>
        <w:rPr>
          <w:vertAlign w:val="superscript"/>
        </w:rPr>
        <w:t>2</w:t>
      </w:r>
      <w:r>
        <w:t>Dr. Pesquisador da Embrapa Meio-Norte, Teresina, PI, lucio.vasconcelos@embrapa.br;</w:t>
      </w:r>
    </w:p>
    <w:p w14:paraId="00000007" w14:textId="77777777" w:rsidR="006F4D7B" w:rsidRDefault="00111F01">
      <w:pPr>
        <w:jc w:val="both"/>
      </w:pPr>
      <w:r>
        <w:rPr>
          <w:vertAlign w:val="superscript"/>
        </w:rPr>
        <w:t>3</w:t>
      </w:r>
      <w:r>
        <w:t>Dr. Pesquisador da Embrapa Meio-Norte, Teresina, PI, eugenio.emerito@embrapa.br;</w:t>
      </w:r>
    </w:p>
    <w:p w14:paraId="00000008" w14:textId="77777777" w:rsidR="006F4D7B" w:rsidRDefault="00111F01">
      <w:pPr>
        <w:jc w:val="both"/>
      </w:pPr>
      <w:r>
        <w:rPr>
          <w:vertAlign w:val="superscript"/>
        </w:rPr>
        <w:t>4</w:t>
      </w:r>
      <w:r>
        <w:t>Dra. Professora da UESPI, Teresina, PI, melissa.oda@gmail.com;</w:t>
      </w:r>
    </w:p>
    <w:p w14:paraId="00000009" w14:textId="77777777" w:rsidR="006F4D7B" w:rsidRDefault="00111F01">
      <w:pPr>
        <w:jc w:val="both"/>
        <w:rPr>
          <w:vertAlign w:val="superscript"/>
        </w:rPr>
      </w:pPr>
      <w:r>
        <w:rPr>
          <w:vertAlign w:val="superscript"/>
        </w:rPr>
        <w:t>5</w:t>
      </w:r>
      <w:r>
        <w:t>Dr. Pesquisador da Embrapa Meio-Norte, Teresina, PI, valdemicio.sousa@embrapa.br</w:t>
      </w:r>
    </w:p>
    <w:p w14:paraId="0000000A" w14:textId="77777777" w:rsidR="006F4D7B" w:rsidRDefault="006F4D7B">
      <w:pPr>
        <w:jc w:val="center"/>
      </w:pPr>
    </w:p>
    <w:p w14:paraId="0000000B" w14:textId="77777777" w:rsidR="006F4D7B" w:rsidRDefault="00111F0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Apresentado no            </w:t>
      </w:r>
    </w:p>
    <w:p w14:paraId="0000000C" w14:textId="77777777" w:rsidR="006F4D7B" w:rsidRDefault="00111F01">
      <w:pPr>
        <w:jc w:val="center"/>
        <w:rPr>
          <w:sz w:val="22"/>
          <w:szCs w:val="22"/>
        </w:rPr>
      </w:pPr>
      <w:r>
        <w:rPr>
          <w:sz w:val="22"/>
          <w:szCs w:val="22"/>
        </w:rPr>
        <w:t>Congresso Técnico Científico da Engenharia e da Agronomia – CONTECC</w:t>
      </w:r>
    </w:p>
    <w:p w14:paraId="0000000D" w14:textId="77777777" w:rsidR="006F4D7B" w:rsidRDefault="00111F01">
      <w:pPr>
        <w:jc w:val="center"/>
        <w:rPr>
          <w:sz w:val="22"/>
          <w:szCs w:val="22"/>
        </w:rPr>
      </w:pPr>
      <w:r>
        <w:rPr>
          <w:sz w:val="22"/>
          <w:szCs w:val="22"/>
        </w:rPr>
        <w:t>08 a 11 de agosto de 2023</w:t>
      </w:r>
    </w:p>
    <w:p w14:paraId="0000000E" w14:textId="77777777" w:rsidR="006F4D7B" w:rsidRDefault="006F4D7B">
      <w:pPr>
        <w:jc w:val="center"/>
      </w:pPr>
    </w:p>
    <w:p w14:paraId="0000000F" w14:textId="77777777" w:rsidR="006F4D7B" w:rsidRDefault="00111F01">
      <w:pPr>
        <w:tabs>
          <w:tab w:val="left" w:pos="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RESUMO</w:t>
      </w:r>
      <w:r>
        <w:rPr>
          <w:sz w:val="22"/>
          <w:szCs w:val="22"/>
        </w:rPr>
        <w:t xml:space="preserve">: Este trabalho tem como objetivo avaliar o crescimento e desenvolvimento da cajazeira irrigada sob restrição do sistema radicular por meio de impedimento mecânico no município de Teresina, PI. Utilizou-se o delineamento estatístico de blocos ao acaso, em um esquema fatorial com dois tratamentos mais 1 adicional [(2x2) + 1] e quatro repetições. Verificou-se que as interações Impedimento x Profundidade e fatorial x testemunha adicional foram significativas para todas as variáveis estudadas. Observou-se que para todas as variáveis a Testemunha adicional foi superior aos tratamentos no fatorial. Conclui-se que a presença de impedimento mecânico do sistema radicular afeta os diâmetros de enxerto e do porta-enxerto, bem como a altura de planta e diâmetro médio de copa, ao passo que o impedimento mecânico instalado a 0,5 m de profundidade e com diâmetro de 0,5 m reduzem significativamente o crescimento de cajazeira. </w:t>
      </w:r>
    </w:p>
    <w:p w14:paraId="00000010" w14:textId="3980F72E" w:rsidR="006F4D7B" w:rsidRDefault="00111F0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PALAVRAS-CHAVE:</w:t>
      </w:r>
      <w:r>
        <w:rPr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Spondias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mombin</w:t>
      </w:r>
      <w:proofErr w:type="spellEnd"/>
      <w:r>
        <w:rPr>
          <w:sz w:val="22"/>
          <w:szCs w:val="22"/>
        </w:rPr>
        <w:t xml:space="preserve"> L., Fruteiras nativas.,</w:t>
      </w:r>
      <w:r w:rsidR="00287FBC">
        <w:rPr>
          <w:sz w:val="22"/>
          <w:szCs w:val="22"/>
        </w:rPr>
        <w:t xml:space="preserve"> Taperebá</w:t>
      </w:r>
      <w:r w:rsidR="00287FBC">
        <w:t>.</w:t>
      </w:r>
    </w:p>
    <w:p w14:paraId="00000011" w14:textId="77777777" w:rsidR="006F4D7B" w:rsidRDefault="006F4D7B">
      <w:pPr>
        <w:jc w:val="center"/>
      </w:pPr>
    </w:p>
    <w:p w14:paraId="00000012" w14:textId="77777777" w:rsidR="006F4D7B" w:rsidRDefault="00111F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DEVELOPMENT AND GROWTH OF IRRIGATED CAJAZEIRA UNDER RESTRICTION OF THE ROOT SYSTEM, IN TERESINA, PIAUÍ STATE</w:t>
      </w:r>
    </w:p>
    <w:p w14:paraId="00000013" w14:textId="77777777" w:rsidR="006F4D7B" w:rsidRDefault="006F4D7B">
      <w:pPr>
        <w:jc w:val="both"/>
        <w:rPr>
          <w:b/>
          <w:sz w:val="22"/>
          <w:szCs w:val="22"/>
        </w:rPr>
      </w:pPr>
    </w:p>
    <w:p w14:paraId="00000014" w14:textId="77777777" w:rsidR="006F4D7B" w:rsidRDefault="00111F0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ABSTRACT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This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work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aims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evaluate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development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growth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irrigated</w:t>
      </w:r>
      <w:proofErr w:type="spellEnd"/>
      <w:r>
        <w:rPr>
          <w:sz w:val="22"/>
          <w:szCs w:val="22"/>
        </w:rPr>
        <w:t xml:space="preserve"> “cajazeira” </w:t>
      </w:r>
      <w:proofErr w:type="spellStart"/>
      <w:r>
        <w:rPr>
          <w:sz w:val="22"/>
          <w:szCs w:val="22"/>
        </w:rPr>
        <w:t>under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restriction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root system </w:t>
      </w:r>
      <w:proofErr w:type="spellStart"/>
      <w:r>
        <w:rPr>
          <w:sz w:val="22"/>
          <w:szCs w:val="22"/>
        </w:rPr>
        <w:t>by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means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mechanical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impediment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Teresina, </w:t>
      </w:r>
      <w:proofErr w:type="spellStart"/>
      <w:r>
        <w:rPr>
          <w:sz w:val="22"/>
          <w:szCs w:val="22"/>
        </w:rPr>
        <w:t>Piaui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state</w:t>
      </w:r>
      <w:proofErr w:type="spellEnd"/>
      <w:r>
        <w:rPr>
          <w:sz w:val="22"/>
          <w:szCs w:val="22"/>
        </w:rPr>
        <w:t xml:space="preserve">. The </w:t>
      </w:r>
      <w:proofErr w:type="spellStart"/>
      <w:r>
        <w:rPr>
          <w:sz w:val="22"/>
          <w:szCs w:val="22"/>
        </w:rPr>
        <w:t>statistical</w:t>
      </w:r>
      <w:proofErr w:type="spellEnd"/>
      <w:r>
        <w:rPr>
          <w:sz w:val="22"/>
          <w:szCs w:val="22"/>
        </w:rPr>
        <w:t xml:space="preserve"> design </w:t>
      </w:r>
      <w:proofErr w:type="spellStart"/>
      <w:r>
        <w:rPr>
          <w:sz w:val="22"/>
          <w:szCs w:val="22"/>
        </w:rPr>
        <w:t>used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was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randomized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blocks</w:t>
      </w:r>
      <w:proofErr w:type="spellEnd"/>
      <w:r>
        <w:rPr>
          <w:sz w:val="22"/>
          <w:szCs w:val="22"/>
        </w:rPr>
        <w:t xml:space="preserve">, in a </w:t>
      </w:r>
      <w:proofErr w:type="spellStart"/>
      <w:r>
        <w:rPr>
          <w:sz w:val="22"/>
          <w:szCs w:val="22"/>
        </w:rPr>
        <w:t>factorial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scheme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two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treatments</w:t>
      </w:r>
      <w:proofErr w:type="spellEnd"/>
      <w:r>
        <w:rPr>
          <w:sz w:val="22"/>
          <w:szCs w:val="22"/>
        </w:rPr>
        <w:t xml:space="preserve"> plus more 1 </w:t>
      </w:r>
      <w:proofErr w:type="spellStart"/>
      <w:r>
        <w:rPr>
          <w:sz w:val="22"/>
          <w:szCs w:val="22"/>
        </w:rPr>
        <w:t>additional</w:t>
      </w:r>
      <w:proofErr w:type="spellEnd"/>
      <w:r>
        <w:rPr>
          <w:sz w:val="22"/>
          <w:szCs w:val="22"/>
        </w:rPr>
        <w:t xml:space="preserve"> [(2x2) + 1]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four </w:t>
      </w:r>
      <w:proofErr w:type="spellStart"/>
      <w:r>
        <w:rPr>
          <w:sz w:val="22"/>
          <w:szCs w:val="22"/>
        </w:rPr>
        <w:t>replications</w:t>
      </w:r>
      <w:proofErr w:type="spellEnd"/>
      <w:r>
        <w:rPr>
          <w:sz w:val="22"/>
          <w:szCs w:val="22"/>
        </w:rPr>
        <w:t xml:space="preserve">. It </w:t>
      </w:r>
      <w:proofErr w:type="spellStart"/>
      <w:r>
        <w:rPr>
          <w:sz w:val="22"/>
          <w:szCs w:val="22"/>
        </w:rPr>
        <w:t>was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verified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interactions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Impediment</w:t>
      </w:r>
      <w:proofErr w:type="spellEnd"/>
      <w:r>
        <w:rPr>
          <w:sz w:val="22"/>
          <w:szCs w:val="22"/>
        </w:rPr>
        <w:t xml:space="preserve"> x </w:t>
      </w:r>
      <w:proofErr w:type="spellStart"/>
      <w:r>
        <w:rPr>
          <w:sz w:val="22"/>
          <w:szCs w:val="22"/>
        </w:rPr>
        <w:t>Depth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factorial</w:t>
      </w:r>
      <w:proofErr w:type="spellEnd"/>
      <w:r>
        <w:rPr>
          <w:sz w:val="22"/>
          <w:szCs w:val="22"/>
        </w:rPr>
        <w:t xml:space="preserve"> x </w:t>
      </w:r>
      <w:proofErr w:type="spellStart"/>
      <w:r>
        <w:rPr>
          <w:sz w:val="22"/>
          <w:szCs w:val="22"/>
        </w:rPr>
        <w:t>additional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significant</w:t>
      </w:r>
      <w:proofErr w:type="spellEnd"/>
      <w:r>
        <w:rPr>
          <w:sz w:val="22"/>
          <w:szCs w:val="22"/>
        </w:rPr>
        <w:t xml:space="preserve"> for </w:t>
      </w: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studied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variables</w:t>
      </w:r>
      <w:proofErr w:type="spellEnd"/>
      <w:r>
        <w:rPr>
          <w:sz w:val="22"/>
          <w:szCs w:val="22"/>
        </w:rPr>
        <w:t xml:space="preserve">. It </w:t>
      </w:r>
      <w:proofErr w:type="spellStart"/>
      <w:r>
        <w:rPr>
          <w:sz w:val="22"/>
          <w:szCs w:val="22"/>
        </w:rPr>
        <w:t>was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observed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that</w:t>
      </w:r>
      <w:proofErr w:type="spellEnd"/>
      <w:r>
        <w:rPr>
          <w:sz w:val="22"/>
          <w:szCs w:val="22"/>
        </w:rPr>
        <w:t xml:space="preserve"> for </w:t>
      </w: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variables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additional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higher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treatments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factorial</w:t>
      </w:r>
      <w:proofErr w:type="spellEnd"/>
      <w:r>
        <w:rPr>
          <w:sz w:val="22"/>
          <w:szCs w:val="22"/>
        </w:rPr>
        <w:t xml:space="preserve">. It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concluded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that</w:t>
      </w:r>
      <w:proofErr w:type="spellEnd"/>
      <w:r>
        <w:rPr>
          <w:sz w:val="22"/>
          <w:szCs w:val="22"/>
        </w:rPr>
        <w:t xml:space="preserve">: 1-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presence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mechanical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impediment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root system </w:t>
      </w:r>
      <w:proofErr w:type="spellStart"/>
      <w:r>
        <w:rPr>
          <w:sz w:val="22"/>
          <w:szCs w:val="22"/>
        </w:rPr>
        <w:t>affects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diameters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graft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rootstock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plant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height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average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crown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diameter</w:t>
      </w:r>
      <w:proofErr w:type="spellEnd"/>
      <w:r>
        <w:rPr>
          <w:sz w:val="22"/>
          <w:szCs w:val="22"/>
        </w:rPr>
        <w:t xml:space="preserve">; 2 - </w:t>
      </w:r>
      <w:proofErr w:type="spellStart"/>
      <w:r>
        <w:rPr>
          <w:sz w:val="22"/>
          <w:szCs w:val="22"/>
        </w:rPr>
        <w:t>Mechanical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impediment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installed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depth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0.5 m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diameter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0.5 m </w:t>
      </w:r>
      <w:proofErr w:type="spellStart"/>
      <w:r>
        <w:rPr>
          <w:sz w:val="22"/>
          <w:szCs w:val="22"/>
        </w:rPr>
        <w:t>significantly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reduces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cashew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growth</w:t>
      </w:r>
      <w:proofErr w:type="spellEnd"/>
      <w:r>
        <w:rPr>
          <w:sz w:val="22"/>
          <w:szCs w:val="22"/>
        </w:rPr>
        <w:t>.</w:t>
      </w:r>
    </w:p>
    <w:p w14:paraId="00000015" w14:textId="6EA8F510" w:rsidR="006F4D7B" w:rsidRDefault="00111F01">
      <w:pPr>
        <w:jc w:val="both"/>
      </w:pPr>
      <w:r>
        <w:rPr>
          <w:b/>
          <w:sz w:val="22"/>
          <w:szCs w:val="22"/>
        </w:rPr>
        <w:t>KEYWORDS</w:t>
      </w:r>
      <w:r>
        <w:rPr>
          <w:sz w:val="22"/>
          <w:szCs w:val="22"/>
        </w:rPr>
        <w:t xml:space="preserve">: </w:t>
      </w:r>
      <w:proofErr w:type="spellStart"/>
      <w:r>
        <w:rPr>
          <w:i/>
          <w:sz w:val="22"/>
          <w:szCs w:val="22"/>
        </w:rPr>
        <w:t>Spondias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mombin</w:t>
      </w:r>
      <w:proofErr w:type="spellEnd"/>
      <w:r>
        <w:rPr>
          <w:sz w:val="22"/>
          <w:szCs w:val="22"/>
        </w:rPr>
        <w:t xml:space="preserve"> L., </w:t>
      </w:r>
      <w:proofErr w:type="spellStart"/>
      <w:r>
        <w:rPr>
          <w:sz w:val="22"/>
          <w:szCs w:val="22"/>
        </w:rPr>
        <w:t>Native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fruit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trees</w:t>
      </w:r>
      <w:proofErr w:type="spellEnd"/>
      <w:r>
        <w:rPr>
          <w:sz w:val="22"/>
          <w:szCs w:val="22"/>
        </w:rPr>
        <w:t>.,</w:t>
      </w:r>
      <w:r w:rsidR="00287FBC">
        <w:rPr>
          <w:sz w:val="22"/>
          <w:szCs w:val="22"/>
        </w:rPr>
        <w:t xml:space="preserve"> </w:t>
      </w:r>
      <w:proofErr w:type="spellStart"/>
      <w:r w:rsidR="00287FBC" w:rsidRPr="00287FBC">
        <w:rPr>
          <w:sz w:val="22"/>
          <w:szCs w:val="22"/>
        </w:rPr>
        <w:t>Hogplum</w:t>
      </w:r>
      <w:proofErr w:type="spellEnd"/>
      <w:r>
        <w:rPr>
          <w:sz w:val="22"/>
          <w:szCs w:val="22"/>
        </w:rPr>
        <w:t>.</w:t>
      </w:r>
    </w:p>
    <w:p w14:paraId="00000016" w14:textId="77777777" w:rsidR="006F4D7B" w:rsidRDefault="006F4D7B">
      <w:pPr>
        <w:jc w:val="both"/>
        <w:rPr>
          <w:sz w:val="22"/>
          <w:szCs w:val="22"/>
        </w:rPr>
      </w:pPr>
    </w:p>
    <w:p w14:paraId="00000017" w14:textId="77777777" w:rsidR="006F4D7B" w:rsidRDefault="00111F0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INTRODUÇÃO</w:t>
      </w:r>
    </w:p>
    <w:p w14:paraId="00000018" w14:textId="7DC76C51" w:rsidR="006F4D7B" w:rsidRDefault="00111F0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A cajazeira (</w:t>
      </w:r>
      <w:proofErr w:type="spellStart"/>
      <w:r>
        <w:rPr>
          <w:i/>
          <w:sz w:val="22"/>
          <w:szCs w:val="22"/>
        </w:rPr>
        <w:t>Spondias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mombin</w:t>
      </w:r>
      <w:proofErr w:type="spellEnd"/>
      <w:r>
        <w:rPr>
          <w:sz w:val="22"/>
          <w:szCs w:val="22"/>
        </w:rPr>
        <w:t xml:space="preserve"> L.) é uma </w:t>
      </w:r>
      <w:proofErr w:type="gramStart"/>
      <w:r>
        <w:rPr>
          <w:sz w:val="22"/>
          <w:szCs w:val="22"/>
        </w:rPr>
        <w:t>frutífera presente</w:t>
      </w:r>
      <w:proofErr w:type="gramEnd"/>
      <w:r>
        <w:rPr>
          <w:sz w:val="22"/>
          <w:szCs w:val="22"/>
        </w:rPr>
        <w:t xml:space="preserve"> em quase todos os municípios piauienses, sendo encontrada especialmente nas baixadas e ao longo das matas ciliares, </w:t>
      </w:r>
      <w:sdt>
        <w:sdtPr>
          <w:tag w:val="goog_rdk_7"/>
          <w:id w:val="-483478275"/>
        </w:sdtPr>
        <w:sdtEndPr/>
        <w:sdtContent>
          <w:r>
            <w:rPr>
              <w:sz w:val="22"/>
              <w:szCs w:val="22"/>
            </w:rPr>
            <w:t>próximas</w:t>
          </w:r>
        </w:sdtContent>
      </w:sdt>
      <w:r>
        <w:rPr>
          <w:sz w:val="22"/>
          <w:szCs w:val="22"/>
        </w:rPr>
        <w:t xml:space="preserve"> às aguadas, em diferentes solos e climas da região. É uma planta que se encontra em fase de domesticação e sua exploração é praticamente extrativista, realizada principalmente pela agricultura familiar. </w:t>
      </w:r>
    </w:p>
    <w:p w14:paraId="00000019" w14:textId="4A8EE780" w:rsidR="006F4D7B" w:rsidRDefault="00111F0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Atualmente vem aumentando cada vez mais a sua área plantada, provavelmente, em função do seu potencial econômico. Os frutos são utilizados para as indústrias de polpa, </w:t>
      </w:r>
      <w:r w:rsidR="008D0B81">
        <w:rPr>
          <w:sz w:val="22"/>
          <w:szCs w:val="22"/>
        </w:rPr>
        <w:t>sucos</w:t>
      </w:r>
      <w:r>
        <w:rPr>
          <w:sz w:val="22"/>
          <w:szCs w:val="22"/>
        </w:rPr>
        <w:t xml:space="preserve">, sorvetes, picolés, </w:t>
      </w:r>
      <w:r>
        <w:rPr>
          <w:sz w:val="22"/>
          <w:szCs w:val="22"/>
        </w:rPr>
        <w:lastRenderedPageBreak/>
        <w:t>dentre outros e são</w:t>
      </w:r>
      <w:r w:rsidR="008D0B81">
        <w:rPr>
          <w:sz w:val="22"/>
          <w:szCs w:val="22"/>
        </w:rPr>
        <w:t xml:space="preserve"> muito</w:t>
      </w:r>
      <w:r>
        <w:rPr>
          <w:sz w:val="22"/>
          <w:szCs w:val="22"/>
        </w:rPr>
        <w:t xml:space="preserve"> apreciados. Na região Meio-Norte do Brasil, a sua demanda fica em segundo lugar, perdendo somente para a polpa do bacuri. </w:t>
      </w:r>
    </w:p>
    <w:p w14:paraId="0000001A" w14:textId="1011F627" w:rsidR="006F4D7B" w:rsidRDefault="00111F0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Embora não haja dados estatísticos do IBGE sobre a área de produção dessa fruteira no estado do Piauí, estima-se que atualmente, exista cerca de 80 ha explorados com uso de tecnologias e empiricamente. Esta planta vem sendo explorada cada vez mais, especialmente, pelos pequenos produtores, provavelmente, por sua capacidade de gerar renda, emprego e fixação do homem no campo.</w:t>
      </w:r>
    </w:p>
    <w:p w14:paraId="0000001B" w14:textId="77777777" w:rsidR="006F4D7B" w:rsidRDefault="00111F0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árvore pode chegar a mais de 12 m de altura. O porte das plantas dificulta a realização dos tratos culturais como poda, colheita, controle fitossanitário, dentre outros, tornando-se um dos fatores limitantes para sua exploração técnica e econômica. </w:t>
      </w:r>
    </w:p>
    <w:p w14:paraId="0000001C" w14:textId="77777777" w:rsidR="006F4D7B" w:rsidRDefault="00111F0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Diante do exposto, este trabalho tem como objetivo avaliar o crescimento e desenvolvimento da cajazeira irrigada sob restrição do sistema radicular por meio de impedimento mecânico no município de Teresina, PI.</w:t>
      </w:r>
    </w:p>
    <w:p w14:paraId="0000001D" w14:textId="77777777" w:rsidR="006F4D7B" w:rsidRDefault="006F4D7B">
      <w:pPr>
        <w:rPr>
          <w:b/>
          <w:sz w:val="22"/>
          <w:szCs w:val="22"/>
        </w:rPr>
      </w:pPr>
    </w:p>
    <w:p w14:paraId="0000001E" w14:textId="77777777" w:rsidR="006F4D7B" w:rsidRDefault="00111F0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MATERIAL E MÉTODOS </w:t>
      </w:r>
    </w:p>
    <w:p w14:paraId="0000001F" w14:textId="38DEA7D3" w:rsidR="006F4D7B" w:rsidRDefault="00111F0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experimento foi conduzido no período de 22 dezembro de 2020 a 25 maio de 2023, totalizando 30 meses após o plantio, em área de produtor de cajá, no sítio </w:t>
      </w:r>
      <w:proofErr w:type="spellStart"/>
      <w:r>
        <w:rPr>
          <w:sz w:val="22"/>
          <w:szCs w:val="22"/>
        </w:rPr>
        <w:t>Tuturubá</w:t>
      </w:r>
      <w:proofErr w:type="spellEnd"/>
      <w:r>
        <w:rPr>
          <w:sz w:val="22"/>
          <w:szCs w:val="22"/>
        </w:rPr>
        <w:t xml:space="preserve">, povoado Boqueirão, na zona rural de Teresina, PI.  O clima do município de Teresina, de acordo com a classificação climática de </w:t>
      </w:r>
      <w:proofErr w:type="spellStart"/>
      <w:r>
        <w:rPr>
          <w:sz w:val="22"/>
          <w:szCs w:val="22"/>
        </w:rPr>
        <w:t>Thornthwaite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Mather</w:t>
      </w:r>
      <w:proofErr w:type="spellEnd"/>
      <w:r>
        <w:rPr>
          <w:sz w:val="22"/>
          <w:szCs w:val="22"/>
        </w:rPr>
        <w:t xml:space="preserve"> (1955), é C1sA'a', caracterizado como </w:t>
      </w:r>
      <w:proofErr w:type="spellStart"/>
      <w:r>
        <w:rPr>
          <w:sz w:val="22"/>
          <w:szCs w:val="22"/>
        </w:rPr>
        <w:t>subúmido</w:t>
      </w:r>
      <w:proofErr w:type="spellEnd"/>
      <w:r>
        <w:rPr>
          <w:sz w:val="22"/>
          <w:szCs w:val="22"/>
        </w:rPr>
        <w:t xml:space="preserve"> seco, megatérmico, com excedente hídrico moderado no verão e uma concentração de 32,2% da evapotranspiração potencial no trimestre setembro-outubro-novembro (</w:t>
      </w:r>
      <w:r w:rsidR="00B62D28">
        <w:rPr>
          <w:sz w:val="22"/>
          <w:szCs w:val="22"/>
        </w:rPr>
        <w:t>Andrade Júnior</w:t>
      </w:r>
      <w:r>
        <w:rPr>
          <w:sz w:val="22"/>
          <w:szCs w:val="22"/>
        </w:rPr>
        <w:t xml:space="preserve"> et al., 2005). As chuvas se concentram entre os meses de janeiro e abril, com precipitação média de 1.393,2 mm, temperatura média do ar de 27,1 °C e umidade relativa média do ar de 70% (INMET, 2009). </w:t>
      </w:r>
    </w:p>
    <w:p w14:paraId="00000020" w14:textId="3572A79A" w:rsidR="006F4D7B" w:rsidRDefault="00111F0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Instalou-se um sistema de irrigação por aspersão fixo em faixa continua, utilizando-se emissores de impacto giratório, dois jatos de água, com vazão 450 L h</w:t>
      </w:r>
      <w:r>
        <w:rPr>
          <w:sz w:val="22"/>
          <w:szCs w:val="22"/>
          <w:vertAlign w:val="superscript"/>
        </w:rPr>
        <w:t>-1</w:t>
      </w:r>
      <w:r>
        <w:rPr>
          <w:sz w:val="22"/>
          <w:szCs w:val="22"/>
        </w:rPr>
        <w:t xml:space="preserve">, com pressão nominal média de 2,3 bar, pressão de serviço variando de 2,0 a 3,0 bares na saída dos bocais, com filtros individuais em cada aspersor e contendo proteção contra insetos, instalados a uma altura média de 0,80 m. O manejo da irrigação </w:t>
      </w:r>
      <w:r w:rsidR="008574E9">
        <w:rPr>
          <w:sz w:val="22"/>
          <w:szCs w:val="22"/>
        </w:rPr>
        <w:t>foi</w:t>
      </w:r>
      <w:r>
        <w:rPr>
          <w:sz w:val="22"/>
          <w:szCs w:val="22"/>
        </w:rPr>
        <w:t xml:space="preserve"> realizado em função da média mensal de evapotranspiração de referência (</w:t>
      </w:r>
      <w:proofErr w:type="spellStart"/>
      <w:r>
        <w:rPr>
          <w:sz w:val="22"/>
          <w:szCs w:val="22"/>
        </w:rPr>
        <w:t>ETo</w:t>
      </w:r>
      <w:proofErr w:type="spellEnd"/>
      <w:r>
        <w:rPr>
          <w:sz w:val="22"/>
          <w:szCs w:val="22"/>
        </w:rPr>
        <w:t xml:space="preserve">), estimado pelo método de </w:t>
      </w:r>
      <w:proofErr w:type="spellStart"/>
      <w:r>
        <w:rPr>
          <w:sz w:val="22"/>
          <w:szCs w:val="22"/>
        </w:rPr>
        <w:t>Penman-Monteith</w:t>
      </w:r>
      <w:proofErr w:type="spellEnd"/>
      <w:r>
        <w:rPr>
          <w:sz w:val="22"/>
          <w:szCs w:val="22"/>
        </w:rPr>
        <w:t xml:space="preserve">, referente ao período de 1980 a 2017, segundo </w:t>
      </w:r>
      <w:r w:rsidR="00827D5A">
        <w:rPr>
          <w:sz w:val="22"/>
          <w:szCs w:val="22"/>
        </w:rPr>
        <w:t xml:space="preserve">Bastos &amp; Andrade </w:t>
      </w:r>
      <w:proofErr w:type="spellStart"/>
      <w:r w:rsidR="00827D5A">
        <w:rPr>
          <w:sz w:val="22"/>
          <w:szCs w:val="22"/>
        </w:rPr>
        <w:t>Júior</w:t>
      </w:r>
      <w:proofErr w:type="spellEnd"/>
      <w:r w:rsidR="00827D5A">
        <w:rPr>
          <w:sz w:val="22"/>
          <w:szCs w:val="22"/>
        </w:rPr>
        <w:t xml:space="preserve"> </w:t>
      </w:r>
      <w:r>
        <w:rPr>
          <w:sz w:val="22"/>
          <w:szCs w:val="22"/>
        </w:rPr>
        <w:t>(2019).</w:t>
      </w:r>
    </w:p>
    <w:p w14:paraId="1BEB69E4" w14:textId="77777777" w:rsidR="00D96DDC" w:rsidRDefault="0077543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 sementes foram coletadas no período de fevereiro a abril de 2018, de uma única cajazeira, dentro da área experimental da Embrapa Meio-Norte. As mudas foram feitas em tubetes de 3,78 L. O substrato utilizado continha cerca de 2/3 de terriço e 1/3 de casca de arroz carbonizada. Após cerca de 120 dias, foram realizadas as enxertias, com garfos coletados de uma planta identificada por AGB2, da empresa </w:t>
      </w:r>
      <w:proofErr w:type="spellStart"/>
      <w:r>
        <w:rPr>
          <w:sz w:val="22"/>
          <w:szCs w:val="22"/>
        </w:rPr>
        <w:t>Agromudas</w:t>
      </w:r>
      <w:proofErr w:type="spellEnd"/>
      <w:r>
        <w:rPr>
          <w:sz w:val="22"/>
          <w:szCs w:val="22"/>
        </w:rPr>
        <w:t>.</w:t>
      </w:r>
    </w:p>
    <w:p w14:paraId="00000021" w14:textId="15361FA4" w:rsidR="006F4D7B" w:rsidRDefault="00111F0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O plantio das</w:t>
      </w:r>
      <w:r w:rsidR="00883D35">
        <w:rPr>
          <w:sz w:val="22"/>
          <w:szCs w:val="22"/>
        </w:rPr>
        <w:t xml:space="preserve"> mudas de</w:t>
      </w:r>
      <w:r>
        <w:rPr>
          <w:sz w:val="22"/>
          <w:szCs w:val="22"/>
        </w:rPr>
        <w:t xml:space="preserve"> cajazeiras foi realizado em covas medindo 0,30 m de diâmetro e 0,40 m de profundidade, obedecendo à distribuição </w:t>
      </w:r>
      <w:r w:rsidR="00883D35">
        <w:rPr>
          <w:sz w:val="22"/>
          <w:szCs w:val="22"/>
        </w:rPr>
        <w:t>triangular</w:t>
      </w:r>
      <w:r>
        <w:rPr>
          <w:sz w:val="22"/>
          <w:szCs w:val="22"/>
        </w:rPr>
        <w:t xml:space="preserve"> no espaçamento de 8 x 8 x 8m, </w:t>
      </w:r>
      <w:sdt>
        <w:sdtPr>
          <w:tag w:val="goog_rdk_21"/>
          <w:id w:val="-252518542"/>
        </w:sdtPr>
        <w:sdtEndPr/>
        <w:sdtContent>
          <w:r>
            <w:rPr>
              <w:sz w:val="22"/>
              <w:szCs w:val="22"/>
            </w:rPr>
            <w:t xml:space="preserve">na </w:t>
          </w:r>
        </w:sdtContent>
      </w:sdt>
      <w:r>
        <w:rPr>
          <w:sz w:val="22"/>
          <w:szCs w:val="22"/>
        </w:rPr>
        <w:t>densidade de plantio de 180 plantas por hectare, aproximadamente.</w:t>
      </w:r>
    </w:p>
    <w:p w14:paraId="00000022" w14:textId="1C71FBCC" w:rsidR="006F4D7B" w:rsidRDefault="00111F0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Utilizou-se o delineamento estatístico em blocos ao acaso, cujos tratamentos foram arranjados em esquema fatorial com dois tratamentos e mais 1 adicional [(2x2) + 1], com quatro repetições, os quais </w:t>
      </w:r>
      <w:r w:rsidR="00F9678E">
        <w:rPr>
          <w:sz w:val="22"/>
          <w:szCs w:val="22"/>
        </w:rPr>
        <w:t xml:space="preserve">consistiram </w:t>
      </w:r>
      <w:r>
        <w:rPr>
          <w:sz w:val="22"/>
          <w:szCs w:val="22"/>
        </w:rPr>
        <w:t>no plantio de mudas utilizando-se impedimentos mecânicos constituídos de lajes de ferro-cimento com borda nas extremidades de 0,20 m de altura</w:t>
      </w:r>
      <w:r w:rsidR="00BF74F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00000023" w14:textId="144762B9" w:rsidR="006F4D7B" w:rsidRDefault="00236A1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 </w:t>
      </w:r>
      <w:r w:rsidR="00330D91">
        <w:rPr>
          <w:sz w:val="22"/>
          <w:szCs w:val="22"/>
        </w:rPr>
        <w:t xml:space="preserve">tratamentos </w:t>
      </w:r>
      <w:r>
        <w:rPr>
          <w:sz w:val="22"/>
          <w:szCs w:val="22"/>
        </w:rPr>
        <w:t>avaliados</w:t>
      </w:r>
      <w:r w:rsidR="00330D91">
        <w:rPr>
          <w:sz w:val="22"/>
          <w:szCs w:val="22"/>
        </w:rPr>
        <w:t xml:space="preserve"> foram</w:t>
      </w:r>
      <w:r>
        <w:rPr>
          <w:sz w:val="22"/>
          <w:szCs w:val="22"/>
        </w:rPr>
        <w:t>: 1 - Impedimento mecânico com diâmetro de 0,50 m e instalado a 0,5 m de profundidade no solo; 2 - Impedimento mecânico com diâmetro de 0,50 m e instalado a 1,0 m profundidade no solo; 3 - Impedimento mecânico com diâmetro de 0,90 m e instalado a 0,5 m de profundidade no solo; 4 - Impedimento mecânico com diâmetro de 0,90 m e instalado a 1,0 m de profundidade no solo; e 5 - Testemunha, sem impedimento mecânico.</w:t>
      </w:r>
    </w:p>
    <w:p w14:paraId="00000024" w14:textId="2637180E" w:rsidR="006F4D7B" w:rsidRDefault="00111F0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área experimental foi dividida em duas subáreas, contendo dois blocos cada. Localização das áreas: I (S 04° 54` 43,9`` e W 042° 43` 56,5``) e II (2: S 04° 54` 46,9`` e W 042° 43` 50,6``). A parcela experimental foi composta </w:t>
      </w:r>
      <w:sdt>
        <w:sdtPr>
          <w:tag w:val="goog_rdk_33"/>
          <w:id w:val="1716381223"/>
        </w:sdtPr>
        <w:sdtEndPr/>
        <w:sdtContent>
          <w:r>
            <w:rPr>
              <w:sz w:val="22"/>
              <w:szCs w:val="22"/>
            </w:rPr>
            <w:t>por</w:t>
          </w:r>
        </w:sdtContent>
      </w:sdt>
      <w:r>
        <w:rPr>
          <w:sz w:val="22"/>
          <w:szCs w:val="22"/>
        </w:rPr>
        <w:t xml:space="preserve"> duas plantas úteis, perfazendo um total de 20 plantas úteis em cada </w:t>
      </w:r>
      <w:r>
        <w:rPr>
          <w:sz w:val="22"/>
          <w:szCs w:val="22"/>
        </w:rPr>
        <w:lastRenderedPageBreak/>
        <w:t>subárea, mais 22 plantas de bordadura externa, totalizando uma área de 2.352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 A área total do experimento foi de 4.704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com um total de 84 mudas de cajazeiras. </w:t>
      </w:r>
    </w:p>
    <w:p w14:paraId="00000028" w14:textId="6F219787" w:rsidR="006F4D7B" w:rsidRDefault="00111F0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Foram avaliadas as características morfológicas de crescimento das plantas: diâmetro do enxerto (mm), diâmetro do porta-enxerto (mm), altura (m) e diâmetro médio de copa (m). Os dados experimentais foram submetidos a análise de variância e teste de </w:t>
      </w:r>
      <w:proofErr w:type="spellStart"/>
      <w:r>
        <w:rPr>
          <w:sz w:val="22"/>
          <w:szCs w:val="22"/>
        </w:rPr>
        <w:t>Tukey</w:t>
      </w:r>
      <w:proofErr w:type="spellEnd"/>
      <w:r>
        <w:rPr>
          <w:sz w:val="22"/>
          <w:szCs w:val="22"/>
        </w:rPr>
        <w:t xml:space="preserve"> </w:t>
      </w:r>
      <w:r w:rsidR="00D96DDC">
        <w:rPr>
          <w:sz w:val="22"/>
          <w:szCs w:val="22"/>
        </w:rPr>
        <w:t xml:space="preserve">a 5% </w:t>
      </w:r>
      <w:r>
        <w:rPr>
          <w:sz w:val="22"/>
          <w:szCs w:val="22"/>
        </w:rPr>
        <w:t xml:space="preserve">para comparação de médias. Os testes de </w:t>
      </w:r>
      <w:proofErr w:type="spellStart"/>
      <w:r>
        <w:rPr>
          <w:sz w:val="22"/>
          <w:szCs w:val="22"/>
        </w:rPr>
        <w:t>Bartlett</w:t>
      </w:r>
      <w:proofErr w:type="spellEnd"/>
      <w:r>
        <w:rPr>
          <w:sz w:val="22"/>
          <w:szCs w:val="22"/>
        </w:rPr>
        <w:t xml:space="preserve"> e Shapiro-Wilk foram aplicados para avaliar as pressuposições de </w:t>
      </w:r>
      <w:proofErr w:type="spellStart"/>
      <w:r>
        <w:rPr>
          <w:sz w:val="22"/>
          <w:szCs w:val="22"/>
        </w:rPr>
        <w:t>homocedasticidade</w:t>
      </w:r>
      <w:proofErr w:type="spellEnd"/>
      <w:r>
        <w:rPr>
          <w:sz w:val="22"/>
          <w:szCs w:val="22"/>
        </w:rPr>
        <w:t xml:space="preserve"> de variâncias dos tratamentos e normalidade dos resíduos, respectivamente. Na ausência destes pressupostos, os dados foram transformados pelo Método Potência Ótima de Box-Cox (BOX</w:t>
      </w:r>
      <w:r w:rsidR="004F0A33">
        <w:rPr>
          <w:sz w:val="22"/>
          <w:szCs w:val="22"/>
        </w:rPr>
        <w:t xml:space="preserve"> &amp; </w:t>
      </w:r>
      <w:r>
        <w:rPr>
          <w:sz w:val="22"/>
          <w:szCs w:val="22"/>
        </w:rPr>
        <w:t>COX, 1964). As análises foram realizadas pelo Software R de computação estatística (R CORE TEAM, 2022).</w:t>
      </w:r>
    </w:p>
    <w:p w14:paraId="00000029" w14:textId="77777777" w:rsidR="006F4D7B" w:rsidRDefault="006F4D7B">
      <w:pPr>
        <w:tabs>
          <w:tab w:val="left" w:pos="0"/>
        </w:tabs>
        <w:jc w:val="both"/>
        <w:rPr>
          <w:sz w:val="22"/>
          <w:szCs w:val="22"/>
        </w:rPr>
      </w:pPr>
    </w:p>
    <w:p w14:paraId="0000002A" w14:textId="77777777" w:rsidR="006F4D7B" w:rsidRDefault="00111F01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RESULTADOS E DISCUSSÃO</w:t>
      </w:r>
    </w:p>
    <w:p w14:paraId="0000002B" w14:textId="3AE09629" w:rsidR="006F4D7B" w:rsidRDefault="00111F01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Os valores médios de diâmetro de enxerto, porta enxerto, altura e diâmetro médio de copa das cajazeiras, com cerca de 30 meses após o plantio, conduzidas sob diferentes formas de impedimentos mecânicos, encontram-se na Tabela 1.</w:t>
      </w:r>
    </w:p>
    <w:p w14:paraId="0000002C" w14:textId="52EBE9EA" w:rsidR="006F4D7B" w:rsidRDefault="00111F0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  <w:t>As interações Impedimento x Profundidade e fatorial x testemunha adicional foram significativas</w:t>
      </w:r>
      <w:r w:rsidR="0081572C">
        <w:rPr>
          <w:sz w:val="22"/>
          <w:szCs w:val="22"/>
        </w:rPr>
        <w:t xml:space="preserve"> (p&lt;0,01)</w:t>
      </w:r>
      <w:r>
        <w:rPr>
          <w:sz w:val="22"/>
          <w:szCs w:val="22"/>
        </w:rPr>
        <w:t xml:space="preserve"> para todas as variáveis estudadas (Tabela 1).</w:t>
      </w:r>
    </w:p>
    <w:p w14:paraId="0000002D" w14:textId="77777777" w:rsidR="006F4D7B" w:rsidRDefault="006F4D7B">
      <w:pPr>
        <w:jc w:val="both"/>
        <w:rPr>
          <w:sz w:val="24"/>
          <w:szCs w:val="24"/>
        </w:rPr>
      </w:pPr>
    </w:p>
    <w:p w14:paraId="0000002E" w14:textId="14F03973" w:rsidR="006F4D7B" w:rsidRDefault="00111F01">
      <w:pPr>
        <w:jc w:val="both"/>
        <w:rPr>
          <w:sz w:val="22"/>
          <w:szCs w:val="22"/>
        </w:rPr>
      </w:pPr>
      <w:r>
        <w:rPr>
          <w:sz w:val="22"/>
          <w:szCs w:val="22"/>
        </w:rPr>
        <w:t>Tabela 1 – Médias do diâmetro do enxerto (</w:t>
      </w:r>
      <w:r w:rsidR="008C7495">
        <w:rPr>
          <w:sz w:val="22"/>
          <w:szCs w:val="22"/>
        </w:rPr>
        <w:t>mm</w:t>
      </w:r>
      <w:r>
        <w:rPr>
          <w:sz w:val="22"/>
          <w:szCs w:val="22"/>
        </w:rPr>
        <w:t>), diâmetro do porta-enxerto (</w:t>
      </w:r>
      <w:r w:rsidR="008C7495">
        <w:rPr>
          <w:sz w:val="22"/>
          <w:szCs w:val="22"/>
        </w:rPr>
        <w:t>mm</w:t>
      </w:r>
      <w:r>
        <w:rPr>
          <w:sz w:val="22"/>
          <w:szCs w:val="22"/>
        </w:rPr>
        <w:t>), altura (m) e diâmetro médio de copa (m) para os tratamentos</w:t>
      </w:r>
      <w:r w:rsidR="003A3DBE">
        <w:rPr>
          <w:sz w:val="22"/>
          <w:szCs w:val="22"/>
        </w:rPr>
        <w:t xml:space="preserve"> de</w:t>
      </w:r>
      <w:r>
        <w:rPr>
          <w:sz w:val="22"/>
          <w:szCs w:val="22"/>
        </w:rPr>
        <w:t xml:space="preserve"> diâmetros dos impedimentos (0,5 m e 0,9 m), profundidades (0,5 m e 1,0 m) e testemunha adicional de cajazeiras de três anos de idade, conduzidas sob diferentes formas de impedimento mecânico do sistema radicular. Teresina-PI. Maio de 2023.</w:t>
      </w:r>
    </w:p>
    <w:tbl>
      <w:tblPr>
        <w:tblStyle w:val="a4"/>
        <w:tblW w:w="9071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1814"/>
        <w:gridCol w:w="1814"/>
        <w:gridCol w:w="1814"/>
        <w:gridCol w:w="1814"/>
      </w:tblGrid>
      <w:tr w:rsidR="006F4D7B" w14:paraId="1155CC2E" w14:textId="77777777" w:rsidTr="00D96DDC">
        <w:trPr>
          <w:trHeight w:val="220"/>
        </w:trPr>
        <w:tc>
          <w:tcPr>
            <w:tcW w:w="1815" w:type="dxa"/>
            <w:vMerge w:val="restart"/>
            <w:tcBorders>
              <w:top w:val="single" w:sz="4" w:space="0" w:color="000000"/>
            </w:tcBorders>
            <w:vAlign w:val="center"/>
          </w:tcPr>
          <w:p w14:paraId="0000002F" w14:textId="05DD8AB6" w:rsidR="006F4D7B" w:rsidRDefault="0011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Diâmetro do Impedimento (m)</w:t>
            </w:r>
          </w:p>
        </w:tc>
        <w:tc>
          <w:tcPr>
            <w:tcW w:w="725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0000031" w14:textId="45AC80FF" w:rsidR="006F4D7B" w:rsidRDefault="0011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Profundidade do impedimento(m)</w:t>
            </w:r>
          </w:p>
        </w:tc>
      </w:tr>
      <w:tr w:rsidR="006F4D7B" w14:paraId="26C49CEE" w14:textId="77777777">
        <w:tc>
          <w:tcPr>
            <w:tcW w:w="1815" w:type="dxa"/>
            <w:vMerge/>
            <w:tcBorders>
              <w:top w:val="single" w:sz="4" w:space="0" w:color="000000"/>
            </w:tcBorders>
            <w:vAlign w:val="center"/>
          </w:tcPr>
          <w:p w14:paraId="00000035" w14:textId="77777777" w:rsidR="006F4D7B" w:rsidRDefault="006F4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0000036" w14:textId="77777777" w:rsidR="006F4D7B" w:rsidRDefault="0011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Diâmetro enxerto (mm)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0000038" w14:textId="77777777" w:rsidR="006F4D7B" w:rsidRDefault="0011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Diâmetro porta-enxerto (mm)</w:t>
            </w:r>
          </w:p>
        </w:tc>
      </w:tr>
      <w:tr w:rsidR="006F4D7B" w14:paraId="5FC50D88" w14:textId="77777777">
        <w:tc>
          <w:tcPr>
            <w:tcW w:w="1815" w:type="dxa"/>
            <w:vMerge/>
            <w:tcBorders>
              <w:top w:val="single" w:sz="4" w:space="0" w:color="000000"/>
            </w:tcBorders>
            <w:vAlign w:val="center"/>
          </w:tcPr>
          <w:p w14:paraId="0000003A" w14:textId="77777777" w:rsidR="006F4D7B" w:rsidRDefault="006F4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</w:tcPr>
          <w:p w14:paraId="0000003B" w14:textId="77777777" w:rsidR="006F4D7B" w:rsidRDefault="0011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</w:tcPr>
          <w:p w14:paraId="0000003C" w14:textId="77777777" w:rsidR="006F4D7B" w:rsidRDefault="0011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</w:tcPr>
          <w:p w14:paraId="0000003D" w14:textId="77777777" w:rsidR="006F4D7B" w:rsidRDefault="0011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</w:tcPr>
          <w:p w14:paraId="0000003E" w14:textId="77777777" w:rsidR="006F4D7B" w:rsidRDefault="0011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F4D7B" w14:paraId="25A507A7" w14:textId="77777777">
        <w:tc>
          <w:tcPr>
            <w:tcW w:w="1815" w:type="dxa"/>
            <w:tcBorders>
              <w:top w:val="single" w:sz="4" w:space="0" w:color="000000"/>
              <w:bottom w:val="nil"/>
            </w:tcBorders>
          </w:tcPr>
          <w:p w14:paraId="0000003F" w14:textId="77777777" w:rsidR="006F4D7B" w:rsidRDefault="0011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814" w:type="dxa"/>
            <w:tcBorders>
              <w:top w:val="single" w:sz="4" w:space="0" w:color="000000"/>
              <w:bottom w:val="nil"/>
            </w:tcBorders>
          </w:tcPr>
          <w:p w14:paraId="00000040" w14:textId="77777777" w:rsidR="006F4D7B" w:rsidRDefault="0011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79,85 </w:t>
            </w:r>
            <w:proofErr w:type="spellStart"/>
            <w:r>
              <w:rPr>
                <w:sz w:val="22"/>
                <w:szCs w:val="22"/>
              </w:rPr>
              <w:t>Bb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bottom w:val="nil"/>
            </w:tcBorders>
          </w:tcPr>
          <w:p w14:paraId="00000041" w14:textId="77777777" w:rsidR="006F4D7B" w:rsidRDefault="0011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89,43 Aa</w:t>
            </w:r>
          </w:p>
        </w:tc>
        <w:tc>
          <w:tcPr>
            <w:tcW w:w="1814" w:type="dxa"/>
            <w:tcBorders>
              <w:top w:val="single" w:sz="4" w:space="0" w:color="000000"/>
              <w:bottom w:val="nil"/>
            </w:tcBorders>
          </w:tcPr>
          <w:p w14:paraId="00000042" w14:textId="77777777" w:rsidR="006F4D7B" w:rsidRDefault="0011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78,21 </w:t>
            </w:r>
            <w:proofErr w:type="spellStart"/>
            <w:r>
              <w:rPr>
                <w:sz w:val="22"/>
                <w:szCs w:val="22"/>
              </w:rPr>
              <w:t>Bb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bottom w:val="nil"/>
            </w:tcBorders>
          </w:tcPr>
          <w:p w14:paraId="00000043" w14:textId="77777777" w:rsidR="006F4D7B" w:rsidRDefault="0011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86,76 Aa</w:t>
            </w:r>
          </w:p>
        </w:tc>
      </w:tr>
      <w:tr w:rsidR="006F4D7B" w14:paraId="47236510" w14:textId="77777777">
        <w:tc>
          <w:tcPr>
            <w:tcW w:w="1815" w:type="dxa"/>
            <w:tcBorders>
              <w:top w:val="nil"/>
              <w:bottom w:val="single" w:sz="4" w:space="0" w:color="000000"/>
            </w:tcBorders>
          </w:tcPr>
          <w:p w14:paraId="00000044" w14:textId="77777777" w:rsidR="006F4D7B" w:rsidRDefault="0011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814" w:type="dxa"/>
            <w:tcBorders>
              <w:top w:val="nil"/>
              <w:bottom w:val="single" w:sz="4" w:space="0" w:color="000000"/>
            </w:tcBorders>
          </w:tcPr>
          <w:p w14:paraId="00000045" w14:textId="77777777" w:rsidR="006F4D7B" w:rsidRDefault="0011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86,08 Aa</w:t>
            </w:r>
          </w:p>
        </w:tc>
        <w:tc>
          <w:tcPr>
            <w:tcW w:w="1814" w:type="dxa"/>
            <w:tcBorders>
              <w:top w:val="nil"/>
              <w:bottom w:val="single" w:sz="4" w:space="0" w:color="000000"/>
            </w:tcBorders>
          </w:tcPr>
          <w:p w14:paraId="00000046" w14:textId="77777777" w:rsidR="006F4D7B" w:rsidRDefault="0011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88,69 Aa  </w:t>
            </w:r>
          </w:p>
        </w:tc>
        <w:tc>
          <w:tcPr>
            <w:tcW w:w="1814" w:type="dxa"/>
            <w:tcBorders>
              <w:top w:val="nil"/>
              <w:bottom w:val="single" w:sz="4" w:space="0" w:color="000000"/>
            </w:tcBorders>
          </w:tcPr>
          <w:p w14:paraId="00000047" w14:textId="77777777" w:rsidR="006F4D7B" w:rsidRDefault="0011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84,06 Aa</w:t>
            </w:r>
          </w:p>
        </w:tc>
        <w:tc>
          <w:tcPr>
            <w:tcW w:w="1814" w:type="dxa"/>
            <w:tcBorders>
              <w:top w:val="nil"/>
              <w:bottom w:val="single" w:sz="4" w:space="0" w:color="000000"/>
            </w:tcBorders>
          </w:tcPr>
          <w:p w14:paraId="00000048" w14:textId="77777777" w:rsidR="006F4D7B" w:rsidRDefault="0011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86,49 Aa</w:t>
            </w:r>
          </w:p>
        </w:tc>
      </w:tr>
      <w:tr w:rsidR="006F4D7B" w14:paraId="33E8F706" w14:textId="77777777">
        <w:tc>
          <w:tcPr>
            <w:tcW w:w="1815" w:type="dxa"/>
            <w:tcBorders>
              <w:top w:val="single" w:sz="4" w:space="0" w:color="000000"/>
              <w:bottom w:val="nil"/>
            </w:tcBorders>
          </w:tcPr>
          <w:p w14:paraId="00000049" w14:textId="77777777" w:rsidR="006F4D7B" w:rsidRDefault="0011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Fatorial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bottom w:val="nil"/>
            </w:tcBorders>
          </w:tcPr>
          <w:p w14:paraId="0000004A" w14:textId="77777777" w:rsidR="006F4D7B" w:rsidRDefault="0011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86,01 B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bottom w:val="nil"/>
            </w:tcBorders>
          </w:tcPr>
          <w:p w14:paraId="0000004C" w14:textId="77777777" w:rsidR="006F4D7B" w:rsidRDefault="0011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83,88 B</w:t>
            </w:r>
          </w:p>
        </w:tc>
      </w:tr>
      <w:tr w:rsidR="006F4D7B" w14:paraId="0B595D5A" w14:textId="77777777">
        <w:tc>
          <w:tcPr>
            <w:tcW w:w="1815" w:type="dxa"/>
            <w:tcBorders>
              <w:top w:val="nil"/>
              <w:bottom w:val="single" w:sz="4" w:space="0" w:color="000000"/>
            </w:tcBorders>
          </w:tcPr>
          <w:p w14:paraId="0000004E" w14:textId="77777777" w:rsidR="006F4D7B" w:rsidRDefault="0011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Testemunha</w:t>
            </w:r>
          </w:p>
        </w:tc>
        <w:tc>
          <w:tcPr>
            <w:tcW w:w="3628" w:type="dxa"/>
            <w:gridSpan w:val="2"/>
            <w:tcBorders>
              <w:top w:val="nil"/>
              <w:bottom w:val="single" w:sz="4" w:space="0" w:color="000000"/>
            </w:tcBorders>
          </w:tcPr>
          <w:p w14:paraId="0000004F" w14:textId="77777777" w:rsidR="006F4D7B" w:rsidRDefault="0011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89,69 A</w:t>
            </w:r>
          </w:p>
        </w:tc>
        <w:tc>
          <w:tcPr>
            <w:tcW w:w="3628" w:type="dxa"/>
            <w:gridSpan w:val="2"/>
            <w:tcBorders>
              <w:top w:val="nil"/>
              <w:bottom w:val="single" w:sz="4" w:space="0" w:color="000000"/>
            </w:tcBorders>
          </w:tcPr>
          <w:p w14:paraId="00000051" w14:textId="77777777" w:rsidR="006F4D7B" w:rsidRDefault="0011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88,63 A</w:t>
            </w:r>
          </w:p>
        </w:tc>
      </w:tr>
      <w:tr w:rsidR="006F4D7B" w14:paraId="7E5EF3B3" w14:textId="77777777"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</w:tcPr>
          <w:p w14:paraId="00000053" w14:textId="77777777" w:rsidR="006F4D7B" w:rsidRDefault="0011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 (%)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0000054" w14:textId="77777777" w:rsidR="006F4D7B" w:rsidRDefault="0011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2,87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0000056" w14:textId="77777777" w:rsidR="006F4D7B" w:rsidRDefault="0011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2,66</w:t>
            </w:r>
          </w:p>
        </w:tc>
      </w:tr>
      <w:tr w:rsidR="006F4D7B" w14:paraId="1BB80819" w14:textId="77777777">
        <w:tc>
          <w:tcPr>
            <w:tcW w:w="1815" w:type="dxa"/>
            <w:vMerge w:val="restart"/>
            <w:tcBorders>
              <w:top w:val="single" w:sz="4" w:space="0" w:color="000000"/>
            </w:tcBorders>
            <w:vAlign w:val="center"/>
          </w:tcPr>
          <w:p w14:paraId="00000058" w14:textId="77777777" w:rsidR="006F4D7B" w:rsidRDefault="0011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Diâmetro do Impedimento (m)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059" w14:textId="77777777" w:rsidR="006F4D7B" w:rsidRDefault="0011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Altura de planta (m)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05B" w14:textId="77777777" w:rsidR="006F4D7B" w:rsidRDefault="0011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Diâmetro médio de copa (m)</w:t>
            </w:r>
          </w:p>
        </w:tc>
      </w:tr>
      <w:tr w:rsidR="006F4D7B" w14:paraId="7E1B7A79" w14:textId="77777777">
        <w:tc>
          <w:tcPr>
            <w:tcW w:w="1815" w:type="dxa"/>
            <w:vMerge/>
            <w:tcBorders>
              <w:top w:val="single" w:sz="4" w:space="0" w:color="000000"/>
            </w:tcBorders>
            <w:vAlign w:val="center"/>
          </w:tcPr>
          <w:p w14:paraId="0000005D" w14:textId="77777777" w:rsidR="006F4D7B" w:rsidRDefault="006F4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</w:tcPr>
          <w:p w14:paraId="0000005E" w14:textId="77777777" w:rsidR="006F4D7B" w:rsidRDefault="0011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</w:tcPr>
          <w:p w14:paraId="0000005F" w14:textId="77777777" w:rsidR="006F4D7B" w:rsidRDefault="0011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</w:tcPr>
          <w:p w14:paraId="00000060" w14:textId="77777777" w:rsidR="006F4D7B" w:rsidRDefault="0011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</w:tcPr>
          <w:p w14:paraId="00000061" w14:textId="77777777" w:rsidR="006F4D7B" w:rsidRDefault="0011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F4D7B" w14:paraId="7F367A86" w14:textId="77777777">
        <w:tc>
          <w:tcPr>
            <w:tcW w:w="1815" w:type="dxa"/>
            <w:tcBorders>
              <w:top w:val="single" w:sz="4" w:space="0" w:color="000000"/>
              <w:bottom w:val="nil"/>
            </w:tcBorders>
          </w:tcPr>
          <w:p w14:paraId="00000062" w14:textId="77777777" w:rsidR="006F4D7B" w:rsidRDefault="0011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814" w:type="dxa"/>
            <w:tcBorders>
              <w:top w:val="single" w:sz="4" w:space="0" w:color="000000"/>
              <w:bottom w:val="nil"/>
            </w:tcBorders>
          </w:tcPr>
          <w:p w14:paraId="00000063" w14:textId="77777777" w:rsidR="006F4D7B" w:rsidRDefault="0011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1,57 </w:t>
            </w:r>
            <w:proofErr w:type="spellStart"/>
            <w:r>
              <w:rPr>
                <w:sz w:val="22"/>
                <w:szCs w:val="22"/>
              </w:rPr>
              <w:t>Bb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bottom w:val="nil"/>
            </w:tcBorders>
          </w:tcPr>
          <w:p w14:paraId="00000064" w14:textId="77777777" w:rsidR="006F4D7B" w:rsidRDefault="0011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1,79 Aa</w:t>
            </w:r>
          </w:p>
        </w:tc>
        <w:tc>
          <w:tcPr>
            <w:tcW w:w="1814" w:type="dxa"/>
            <w:tcBorders>
              <w:top w:val="single" w:sz="4" w:space="0" w:color="000000"/>
              <w:bottom w:val="nil"/>
            </w:tcBorders>
          </w:tcPr>
          <w:p w14:paraId="00000065" w14:textId="77777777" w:rsidR="006F4D7B" w:rsidRDefault="0011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1,64 </w:t>
            </w:r>
            <w:proofErr w:type="spellStart"/>
            <w:r>
              <w:rPr>
                <w:sz w:val="22"/>
                <w:szCs w:val="22"/>
              </w:rPr>
              <w:t>Bb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bottom w:val="nil"/>
            </w:tcBorders>
          </w:tcPr>
          <w:p w14:paraId="00000066" w14:textId="77777777" w:rsidR="006F4D7B" w:rsidRDefault="0011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1,93 Aa</w:t>
            </w:r>
          </w:p>
        </w:tc>
      </w:tr>
      <w:tr w:rsidR="006F4D7B" w14:paraId="68076F92" w14:textId="77777777">
        <w:tc>
          <w:tcPr>
            <w:tcW w:w="1815" w:type="dxa"/>
            <w:tcBorders>
              <w:top w:val="nil"/>
              <w:bottom w:val="single" w:sz="4" w:space="0" w:color="000000"/>
            </w:tcBorders>
          </w:tcPr>
          <w:p w14:paraId="00000067" w14:textId="77777777" w:rsidR="006F4D7B" w:rsidRDefault="0011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814" w:type="dxa"/>
            <w:tcBorders>
              <w:top w:val="nil"/>
              <w:bottom w:val="single" w:sz="4" w:space="0" w:color="000000"/>
            </w:tcBorders>
          </w:tcPr>
          <w:p w14:paraId="00000068" w14:textId="77777777" w:rsidR="006F4D7B" w:rsidRDefault="0011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1,75 </w:t>
            </w:r>
            <w:proofErr w:type="spellStart"/>
            <w:r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1814" w:type="dxa"/>
            <w:tcBorders>
              <w:top w:val="nil"/>
              <w:bottom w:val="single" w:sz="4" w:space="0" w:color="000000"/>
            </w:tcBorders>
          </w:tcPr>
          <w:p w14:paraId="00000069" w14:textId="77777777" w:rsidR="006F4D7B" w:rsidRDefault="0011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1,83 Aa</w:t>
            </w:r>
          </w:p>
        </w:tc>
        <w:tc>
          <w:tcPr>
            <w:tcW w:w="1814" w:type="dxa"/>
            <w:tcBorders>
              <w:top w:val="nil"/>
              <w:bottom w:val="single" w:sz="4" w:space="0" w:color="000000"/>
            </w:tcBorders>
          </w:tcPr>
          <w:p w14:paraId="0000006A" w14:textId="77777777" w:rsidR="006F4D7B" w:rsidRDefault="0011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1,86 </w:t>
            </w:r>
            <w:proofErr w:type="spellStart"/>
            <w:r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1814" w:type="dxa"/>
            <w:tcBorders>
              <w:top w:val="nil"/>
              <w:bottom w:val="single" w:sz="4" w:space="0" w:color="000000"/>
            </w:tcBorders>
          </w:tcPr>
          <w:p w14:paraId="0000006B" w14:textId="77777777" w:rsidR="006F4D7B" w:rsidRDefault="0011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1,94 Aa</w:t>
            </w:r>
          </w:p>
        </w:tc>
      </w:tr>
      <w:tr w:rsidR="006F4D7B" w14:paraId="00502EDA" w14:textId="77777777">
        <w:tc>
          <w:tcPr>
            <w:tcW w:w="1815" w:type="dxa"/>
            <w:tcBorders>
              <w:top w:val="single" w:sz="4" w:space="0" w:color="000000"/>
              <w:bottom w:val="nil"/>
            </w:tcBorders>
          </w:tcPr>
          <w:p w14:paraId="0000006C" w14:textId="77777777" w:rsidR="006F4D7B" w:rsidRDefault="0011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Fatorial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bottom w:val="nil"/>
            </w:tcBorders>
          </w:tcPr>
          <w:p w14:paraId="0000006D" w14:textId="77777777" w:rsidR="006F4D7B" w:rsidRDefault="0011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1,73 B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bottom w:val="nil"/>
            </w:tcBorders>
          </w:tcPr>
          <w:p w14:paraId="0000006F" w14:textId="77777777" w:rsidR="006F4D7B" w:rsidRDefault="0011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1,85 B</w:t>
            </w:r>
          </w:p>
        </w:tc>
      </w:tr>
      <w:tr w:rsidR="006F4D7B" w14:paraId="1F220982" w14:textId="77777777">
        <w:tc>
          <w:tcPr>
            <w:tcW w:w="1815" w:type="dxa"/>
            <w:tcBorders>
              <w:top w:val="nil"/>
              <w:bottom w:val="single" w:sz="4" w:space="0" w:color="000000"/>
            </w:tcBorders>
          </w:tcPr>
          <w:p w14:paraId="00000071" w14:textId="77777777" w:rsidR="006F4D7B" w:rsidRDefault="0011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Testemunha</w:t>
            </w:r>
          </w:p>
        </w:tc>
        <w:tc>
          <w:tcPr>
            <w:tcW w:w="3628" w:type="dxa"/>
            <w:gridSpan w:val="2"/>
            <w:tcBorders>
              <w:top w:val="nil"/>
              <w:bottom w:val="single" w:sz="4" w:space="0" w:color="000000"/>
            </w:tcBorders>
          </w:tcPr>
          <w:p w14:paraId="00000072" w14:textId="77777777" w:rsidR="006F4D7B" w:rsidRDefault="0011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1,88 A</w:t>
            </w:r>
          </w:p>
        </w:tc>
        <w:tc>
          <w:tcPr>
            <w:tcW w:w="3628" w:type="dxa"/>
            <w:gridSpan w:val="2"/>
            <w:tcBorders>
              <w:top w:val="nil"/>
              <w:bottom w:val="single" w:sz="4" w:space="0" w:color="000000"/>
            </w:tcBorders>
          </w:tcPr>
          <w:p w14:paraId="00000074" w14:textId="77777777" w:rsidR="006F4D7B" w:rsidRDefault="0011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1,96 A</w:t>
            </w:r>
          </w:p>
        </w:tc>
      </w:tr>
      <w:tr w:rsidR="006F4D7B" w14:paraId="77D38F6D" w14:textId="77777777">
        <w:tc>
          <w:tcPr>
            <w:tcW w:w="1815" w:type="dxa"/>
            <w:tcBorders>
              <w:top w:val="single" w:sz="4" w:space="0" w:color="000000"/>
            </w:tcBorders>
          </w:tcPr>
          <w:p w14:paraId="00000076" w14:textId="77777777" w:rsidR="006F4D7B" w:rsidRDefault="0011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 (%)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</w:tcBorders>
          </w:tcPr>
          <w:p w14:paraId="00000077" w14:textId="77777777" w:rsidR="006F4D7B" w:rsidRDefault="0011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2,38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</w:tcBorders>
          </w:tcPr>
          <w:p w14:paraId="00000079" w14:textId="77777777" w:rsidR="006F4D7B" w:rsidRDefault="0011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1,67</w:t>
            </w:r>
          </w:p>
        </w:tc>
      </w:tr>
    </w:tbl>
    <w:p w14:paraId="0000007B" w14:textId="54ED85A6" w:rsidR="006F4D7B" w:rsidRDefault="00111F01">
      <w:pPr>
        <w:rPr>
          <w:sz w:val="22"/>
          <w:szCs w:val="22"/>
        </w:rPr>
      </w:pPr>
      <w:r>
        <w:rPr>
          <w:sz w:val="22"/>
          <w:szCs w:val="22"/>
        </w:rPr>
        <w:t xml:space="preserve">Médias seguidas pela mesma letra maiúscula nas colunas e minúscula nas linhas não diferem estatisticamente entre si pelo teste de </w:t>
      </w:r>
      <w:proofErr w:type="spellStart"/>
      <w:r>
        <w:rPr>
          <w:sz w:val="22"/>
          <w:szCs w:val="22"/>
        </w:rPr>
        <w:t>Tukey</w:t>
      </w:r>
      <w:proofErr w:type="spellEnd"/>
      <w:r>
        <w:rPr>
          <w:sz w:val="22"/>
          <w:szCs w:val="22"/>
        </w:rPr>
        <w:t xml:space="preserve"> a 5% de significância</w:t>
      </w:r>
      <w:r w:rsidR="00A957FD">
        <w:rPr>
          <w:sz w:val="22"/>
          <w:szCs w:val="22"/>
        </w:rPr>
        <w:t>.</w:t>
      </w:r>
    </w:p>
    <w:p w14:paraId="0000007C" w14:textId="77777777" w:rsidR="006F4D7B" w:rsidRDefault="006F4D7B">
      <w:pPr>
        <w:tabs>
          <w:tab w:val="left" w:pos="0"/>
        </w:tabs>
        <w:jc w:val="both"/>
        <w:rPr>
          <w:b/>
          <w:sz w:val="22"/>
          <w:szCs w:val="22"/>
        </w:rPr>
      </w:pPr>
    </w:p>
    <w:p w14:paraId="0000007D" w14:textId="77777777" w:rsidR="006F4D7B" w:rsidRDefault="00111F0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  <w:t>Observou-se que para todas as variáveis a Testemunha adicional foi superior aos tratamentos no fatorial.</w:t>
      </w:r>
    </w:p>
    <w:p w14:paraId="0000007E" w14:textId="5F205AE8" w:rsidR="006F4D7B" w:rsidRDefault="00111F0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Considerando o fatorial, o fator diâmetro do impedimento (0,5 m e 0,9 m) na profundidade 0,5 m, o impedimento 0,9 m foi superior</w:t>
      </w:r>
      <w:r w:rsidR="00BE5D2A">
        <w:rPr>
          <w:sz w:val="22"/>
          <w:szCs w:val="22"/>
        </w:rPr>
        <w:t xml:space="preserve"> (p&lt;0,05)</w:t>
      </w:r>
      <w:r>
        <w:rPr>
          <w:sz w:val="22"/>
          <w:szCs w:val="22"/>
        </w:rPr>
        <w:t xml:space="preserve"> para todas as variáveis. Já na profundidade de 1,0 m não diferiram entre si estatisticamente</w:t>
      </w:r>
      <w:r w:rsidR="009C14A6">
        <w:rPr>
          <w:sz w:val="22"/>
          <w:szCs w:val="22"/>
        </w:rPr>
        <w:t xml:space="preserve"> (p&gt;0,05)</w:t>
      </w:r>
      <w:r>
        <w:rPr>
          <w:sz w:val="22"/>
          <w:szCs w:val="22"/>
        </w:rPr>
        <w:t>. Portanto, percebe-se que a menor profundidade, em conjunto com o menor diâmetro do impedimento, reduziu significativamente</w:t>
      </w:r>
      <w:r w:rsidR="009C14A6">
        <w:rPr>
          <w:sz w:val="22"/>
          <w:szCs w:val="22"/>
        </w:rPr>
        <w:t xml:space="preserve"> (p&lt;0,05)</w:t>
      </w:r>
      <w:r>
        <w:rPr>
          <w:sz w:val="22"/>
          <w:szCs w:val="22"/>
        </w:rPr>
        <w:t xml:space="preserve"> o crescimento das plantas de cajazeiras.</w:t>
      </w:r>
    </w:p>
    <w:p w14:paraId="0000007F" w14:textId="693701AB" w:rsidR="006F4D7B" w:rsidRDefault="00111F0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Estudando as profundidades de instalação do impedimento mecânico no solo (0,5 m e 1,0 m) em relação ao diâmetro de impedimento de 0,5 m, a profundidade de 1,0 m foi superior para todas as </w:t>
      </w:r>
      <w:r>
        <w:rPr>
          <w:sz w:val="22"/>
          <w:szCs w:val="22"/>
        </w:rPr>
        <w:lastRenderedPageBreak/>
        <w:t>variáveis. No impedimento com diâmetro de 0,9 m, considerando as variáveis diâmetro do enxerto (mm) e diâmetro do porta-enxerto (mm) não diferiram estatisticamente</w:t>
      </w:r>
      <w:r w:rsidR="00F333ED">
        <w:rPr>
          <w:sz w:val="22"/>
          <w:szCs w:val="22"/>
        </w:rPr>
        <w:t xml:space="preserve"> (p</w:t>
      </w:r>
      <w:r w:rsidR="00E75D17">
        <w:rPr>
          <w:sz w:val="22"/>
          <w:szCs w:val="22"/>
        </w:rPr>
        <w:t>&gt;</w:t>
      </w:r>
      <w:r w:rsidR="00F333ED">
        <w:rPr>
          <w:sz w:val="22"/>
          <w:szCs w:val="22"/>
        </w:rPr>
        <w:t>0,05)</w:t>
      </w:r>
      <w:r>
        <w:rPr>
          <w:sz w:val="22"/>
          <w:szCs w:val="22"/>
        </w:rPr>
        <w:t>. Para as variáveis altura (m) e diâmetro médio de copa (m) verificou-se a diferença significativa, sendo a profundidade 1,0 m com maiores valores</w:t>
      </w:r>
      <w:r w:rsidR="001E0BED">
        <w:rPr>
          <w:sz w:val="22"/>
          <w:szCs w:val="22"/>
        </w:rPr>
        <w:t xml:space="preserve"> (p&lt;0,05)</w:t>
      </w:r>
      <w:r>
        <w:rPr>
          <w:sz w:val="22"/>
          <w:szCs w:val="22"/>
        </w:rPr>
        <w:t>. Desta forma, o impedimento com diâmetro menor afetou negativamente (</w:t>
      </w:r>
      <w:r w:rsidR="001E0BED">
        <w:rPr>
          <w:sz w:val="22"/>
          <w:szCs w:val="22"/>
        </w:rPr>
        <w:t>p</w:t>
      </w:r>
      <w:r>
        <w:rPr>
          <w:sz w:val="22"/>
          <w:szCs w:val="22"/>
        </w:rPr>
        <w:t>&lt;0,05) todas as variáveis analisadas, enquanto o impedimento com diâmetro de 0,9 m, afetou apenas a altura e o diâmetro de copa.</w:t>
      </w:r>
    </w:p>
    <w:p w14:paraId="00000080" w14:textId="77777777" w:rsidR="006F4D7B" w:rsidRDefault="006F4D7B">
      <w:pPr>
        <w:jc w:val="both"/>
      </w:pPr>
    </w:p>
    <w:p w14:paraId="00000081" w14:textId="77777777" w:rsidR="006F4D7B" w:rsidRDefault="00111F0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CONCLUSÕES</w:t>
      </w:r>
    </w:p>
    <w:p w14:paraId="00000082" w14:textId="77777777" w:rsidR="006F4D7B" w:rsidRDefault="00111F01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A presença de impedimento mecânico do sistema radicular afeta os diâmetros de enxerto, porta-enxerto, altura de planta e diâmetro médio de copa.</w:t>
      </w:r>
    </w:p>
    <w:p w14:paraId="00000084" w14:textId="1F218F9B" w:rsidR="006F4D7B" w:rsidRDefault="00111F01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Impedimento mecânico instalado a 0,5 m de profundidade e com diâmetro de 0,5 m </w:t>
      </w:r>
      <w:r w:rsidR="00695302">
        <w:rPr>
          <w:sz w:val="22"/>
          <w:szCs w:val="22"/>
        </w:rPr>
        <w:t xml:space="preserve">reduz </w:t>
      </w:r>
      <w:r>
        <w:rPr>
          <w:sz w:val="22"/>
          <w:szCs w:val="22"/>
        </w:rPr>
        <w:t>significativamente o crescimento de cajazeira já aos 30 meses após o p</w:t>
      </w:r>
      <w:sdt>
        <w:sdtPr>
          <w:tag w:val="goog_rdk_44"/>
          <w:id w:val="342131965"/>
        </w:sdtPr>
        <w:sdtEndPr/>
        <w:sdtContent/>
      </w:sdt>
      <w:r>
        <w:rPr>
          <w:sz w:val="22"/>
          <w:szCs w:val="22"/>
        </w:rPr>
        <w:t xml:space="preserve">lantio. </w:t>
      </w:r>
    </w:p>
    <w:p w14:paraId="064D3516" w14:textId="77777777" w:rsidR="00A4488D" w:rsidRDefault="00A4488D">
      <w:pPr>
        <w:jc w:val="both"/>
        <w:rPr>
          <w:b/>
          <w:sz w:val="22"/>
          <w:szCs w:val="22"/>
        </w:rPr>
      </w:pPr>
    </w:p>
    <w:p w14:paraId="00000085" w14:textId="1F1F13F4" w:rsidR="006F4D7B" w:rsidRDefault="00111F0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AGRADECIMENTOS</w:t>
      </w:r>
    </w:p>
    <w:p w14:paraId="00000086" w14:textId="77777777" w:rsidR="006F4D7B" w:rsidRDefault="00111F0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A FAPEPI – Fundação de Amparo à Pesquisa do Estado do Piauí pelo financiamento do projeto de pesquisa.</w:t>
      </w:r>
    </w:p>
    <w:p w14:paraId="00000087" w14:textId="77777777" w:rsidR="006F4D7B" w:rsidRDefault="00111F0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0000088" w14:textId="77777777" w:rsidR="006F4D7B" w:rsidRDefault="00111F0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REFERÊNCIAS </w:t>
      </w:r>
    </w:p>
    <w:p w14:paraId="00000089" w14:textId="6F7A113C" w:rsidR="006F4D7B" w:rsidRDefault="00626A08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ANDRADE JÚNIOR</w:t>
      </w:r>
      <w:r w:rsidR="00111F01">
        <w:rPr>
          <w:color w:val="000000"/>
          <w:sz w:val="22"/>
          <w:szCs w:val="22"/>
        </w:rPr>
        <w:t>, A. S. de. et al. Classificação climática e regionalização do semiárido do Estado do Piauí sob cenários pluviométricos distintos. Ciência Agronômica, Fortaleza, v. 36, n. 2, p. 143-151, 2005.</w:t>
      </w:r>
    </w:p>
    <w:p w14:paraId="25DFC8F0" w14:textId="38054229" w:rsidR="00626A08" w:rsidRDefault="00626A08" w:rsidP="00626A08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2"/>
          <w:szCs w:val="22"/>
        </w:rPr>
      </w:pPr>
      <w:r w:rsidRPr="00626A08">
        <w:rPr>
          <w:color w:val="000000"/>
          <w:sz w:val="22"/>
          <w:szCs w:val="22"/>
        </w:rPr>
        <w:t xml:space="preserve">BASTOS, E. A.; ANDRADE JUNIOR, A. S. de. Boletim </w:t>
      </w:r>
      <w:proofErr w:type="spellStart"/>
      <w:r w:rsidRPr="00626A08">
        <w:rPr>
          <w:color w:val="000000"/>
          <w:sz w:val="22"/>
          <w:szCs w:val="22"/>
        </w:rPr>
        <w:t>agrometeorológico</w:t>
      </w:r>
      <w:proofErr w:type="spellEnd"/>
      <w:r w:rsidRPr="00626A08">
        <w:rPr>
          <w:color w:val="000000"/>
          <w:sz w:val="22"/>
          <w:szCs w:val="22"/>
        </w:rPr>
        <w:t xml:space="preserve"> de 2018 para</w:t>
      </w:r>
      <w:r>
        <w:rPr>
          <w:color w:val="000000"/>
          <w:sz w:val="22"/>
          <w:szCs w:val="22"/>
        </w:rPr>
        <w:t xml:space="preserve">      </w:t>
      </w:r>
      <w:r w:rsidRPr="00626A08">
        <w:rPr>
          <w:color w:val="000000"/>
          <w:sz w:val="22"/>
          <w:szCs w:val="22"/>
        </w:rPr>
        <w:t>o município de Teresina, PI. Teresina: Embrapa Meio-Norte, 2019. 37 p. (Embrapa Meio-Norte, Documentos, 266)</w:t>
      </w:r>
      <w:r>
        <w:rPr>
          <w:color w:val="000000"/>
          <w:sz w:val="22"/>
          <w:szCs w:val="22"/>
        </w:rPr>
        <w:t>.</w:t>
      </w:r>
    </w:p>
    <w:p w14:paraId="0000008B" w14:textId="55014965" w:rsidR="006F4D7B" w:rsidRDefault="00111F01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BOX, G.E.P.; COX, D.R. </w:t>
      </w:r>
      <w:proofErr w:type="spellStart"/>
      <w:r>
        <w:rPr>
          <w:color w:val="000000"/>
          <w:sz w:val="22"/>
          <w:szCs w:val="22"/>
        </w:rPr>
        <w:t>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Analysis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color w:val="000000"/>
          <w:sz w:val="22"/>
          <w:szCs w:val="22"/>
        </w:rPr>
        <w:t>of</w:t>
      </w:r>
      <w:proofErr w:type="spellEnd"/>
      <w:r>
        <w:rPr>
          <w:color w:val="000000"/>
          <w:sz w:val="22"/>
          <w:szCs w:val="22"/>
        </w:rPr>
        <w:t xml:space="preserve">  </w:t>
      </w:r>
      <w:proofErr w:type="spellStart"/>
      <w:r>
        <w:rPr>
          <w:color w:val="000000"/>
          <w:sz w:val="22"/>
          <w:szCs w:val="22"/>
        </w:rPr>
        <w:t>Transformations</w:t>
      </w:r>
      <w:proofErr w:type="spellEnd"/>
      <w:proofErr w:type="gram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Journal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of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the</w:t>
      </w:r>
      <w:proofErr w:type="spellEnd"/>
      <w:r>
        <w:rPr>
          <w:color w:val="000000"/>
          <w:sz w:val="22"/>
          <w:szCs w:val="22"/>
        </w:rPr>
        <w:t xml:space="preserve"> Royal </w:t>
      </w:r>
      <w:proofErr w:type="spellStart"/>
      <w:r>
        <w:rPr>
          <w:color w:val="000000"/>
          <w:sz w:val="22"/>
          <w:szCs w:val="22"/>
        </w:rPr>
        <w:t>Statistical</w:t>
      </w:r>
      <w:proofErr w:type="spellEnd"/>
      <w:r>
        <w:rPr>
          <w:color w:val="000000"/>
          <w:sz w:val="22"/>
          <w:szCs w:val="22"/>
        </w:rPr>
        <w:t xml:space="preserve"> Society, v.26, n.2,    p.211-252, 1964.</w:t>
      </w:r>
    </w:p>
    <w:p w14:paraId="0000008C" w14:textId="77777777" w:rsidR="006F4D7B" w:rsidRDefault="00111F01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INMET, INSTITUTO NACIONAL DE METEOROLOGIA. Normais climatológicas, 2009. &lt;</w:t>
      </w:r>
      <w:hyperlink r:id="rId7">
        <w:r>
          <w:rPr>
            <w:color w:val="000000"/>
            <w:sz w:val="22"/>
            <w:szCs w:val="22"/>
          </w:rPr>
          <w:t>http://www.inmet.gov.br/portal/index.php?r=clima/normaisClimatologicas</w:t>
        </w:r>
      </w:hyperlink>
      <w:r>
        <w:rPr>
          <w:color w:val="000000"/>
          <w:sz w:val="22"/>
          <w:szCs w:val="22"/>
        </w:rPr>
        <w:t xml:space="preserve"> &gt; acessado em setembro de 2016.  </w:t>
      </w:r>
    </w:p>
    <w:p w14:paraId="0000008D" w14:textId="77777777" w:rsidR="006F4D7B" w:rsidRDefault="00111F01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 CORE TEAM (2022). R: A </w:t>
      </w:r>
      <w:proofErr w:type="spellStart"/>
      <w:r>
        <w:rPr>
          <w:color w:val="000000"/>
          <w:sz w:val="22"/>
          <w:szCs w:val="22"/>
        </w:rPr>
        <w:t>language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and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environment</w:t>
      </w:r>
      <w:proofErr w:type="spellEnd"/>
      <w:r>
        <w:rPr>
          <w:color w:val="000000"/>
          <w:sz w:val="22"/>
          <w:szCs w:val="22"/>
        </w:rPr>
        <w:t xml:space="preserve"> for </w:t>
      </w:r>
      <w:proofErr w:type="spellStart"/>
      <w:r>
        <w:rPr>
          <w:color w:val="000000"/>
          <w:sz w:val="22"/>
          <w:szCs w:val="22"/>
        </w:rPr>
        <w:t>statistical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computing</w:t>
      </w:r>
      <w:proofErr w:type="spellEnd"/>
      <w:r>
        <w:rPr>
          <w:color w:val="000000"/>
          <w:sz w:val="22"/>
          <w:szCs w:val="22"/>
        </w:rPr>
        <w:t xml:space="preserve">. R Foundation for </w:t>
      </w:r>
      <w:proofErr w:type="spellStart"/>
      <w:r>
        <w:rPr>
          <w:color w:val="000000"/>
          <w:sz w:val="22"/>
          <w:szCs w:val="22"/>
        </w:rPr>
        <w:t>Statistical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Computing</w:t>
      </w:r>
      <w:proofErr w:type="spellEnd"/>
      <w:r>
        <w:rPr>
          <w:color w:val="000000"/>
          <w:sz w:val="22"/>
          <w:szCs w:val="22"/>
        </w:rPr>
        <w:t xml:space="preserve">, Vienna, </w:t>
      </w:r>
      <w:proofErr w:type="spellStart"/>
      <w:r>
        <w:rPr>
          <w:color w:val="000000"/>
          <w:sz w:val="22"/>
          <w:szCs w:val="22"/>
        </w:rPr>
        <w:t>Austria</w:t>
      </w:r>
      <w:proofErr w:type="spellEnd"/>
      <w:r>
        <w:rPr>
          <w:color w:val="000000"/>
          <w:sz w:val="22"/>
          <w:szCs w:val="22"/>
        </w:rPr>
        <w:t>. URL https://www.R-project.org/.</w:t>
      </w:r>
    </w:p>
    <w:p w14:paraId="0000008E" w14:textId="77777777" w:rsidR="006F4D7B" w:rsidRDefault="006F4D7B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2"/>
          <w:szCs w:val="22"/>
        </w:rPr>
      </w:pPr>
    </w:p>
    <w:p w14:paraId="459E96CE" w14:textId="3CC801BA" w:rsidR="00626A08" w:rsidRDefault="00151C70" w:rsidP="00626A08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2"/>
          <w:szCs w:val="22"/>
        </w:rPr>
      </w:pPr>
      <w:r w:rsidRPr="00151C70">
        <w:rPr>
          <w:color w:val="000000"/>
          <w:sz w:val="22"/>
          <w:szCs w:val="22"/>
        </w:rPr>
        <w:t xml:space="preserve">THORNTHWAITE, C. W.; MATHER, J. R. The </w:t>
      </w:r>
      <w:proofErr w:type="spellStart"/>
      <w:r w:rsidRPr="00151C70">
        <w:rPr>
          <w:color w:val="000000"/>
          <w:sz w:val="22"/>
          <w:szCs w:val="22"/>
        </w:rPr>
        <w:t>water</w:t>
      </w:r>
      <w:proofErr w:type="spellEnd"/>
      <w:r>
        <w:rPr>
          <w:color w:val="000000"/>
          <w:sz w:val="22"/>
          <w:szCs w:val="22"/>
        </w:rPr>
        <w:t xml:space="preserve"> </w:t>
      </w:r>
      <w:r w:rsidRPr="00151C70">
        <w:rPr>
          <w:color w:val="000000"/>
          <w:sz w:val="22"/>
          <w:szCs w:val="22"/>
        </w:rPr>
        <w:t xml:space="preserve">balance: </w:t>
      </w:r>
      <w:proofErr w:type="spellStart"/>
      <w:r w:rsidRPr="00151C70">
        <w:rPr>
          <w:color w:val="000000"/>
          <w:sz w:val="22"/>
          <w:szCs w:val="22"/>
        </w:rPr>
        <w:t>publications</w:t>
      </w:r>
      <w:proofErr w:type="spellEnd"/>
      <w:r w:rsidRPr="00151C70">
        <w:rPr>
          <w:color w:val="000000"/>
          <w:sz w:val="22"/>
          <w:szCs w:val="22"/>
        </w:rPr>
        <w:t xml:space="preserve"> in </w:t>
      </w:r>
      <w:proofErr w:type="spellStart"/>
      <w:r w:rsidRPr="00151C70">
        <w:rPr>
          <w:color w:val="000000"/>
          <w:sz w:val="22"/>
          <w:szCs w:val="22"/>
        </w:rPr>
        <w:t>climatology</w:t>
      </w:r>
      <w:proofErr w:type="spellEnd"/>
      <w:r w:rsidRPr="00151C70">
        <w:rPr>
          <w:color w:val="000000"/>
          <w:sz w:val="22"/>
          <w:szCs w:val="22"/>
        </w:rPr>
        <w:t xml:space="preserve">. New Jersey: </w:t>
      </w:r>
      <w:proofErr w:type="spellStart"/>
      <w:r w:rsidRPr="00151C70">
        <w:rPr>
          <w:color w:val="000000"/>
          <w:sz w:val="22"/>
          <w:szCs w:val="22"/>
        </w:rPr>
        <w:t>Drexel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 w:rsidRPr="00151C70">
        <w:rPr>
          <w:color w:val="000000"/>
          <w:sz w:val="22"/>
          <w:szCs w:val="22"/>
        </w:rPr>
        <w:t>Institute</w:t>
      </w:r>
      <w:proofErr w:type="spellEnd"/>
      <w:r w:rsidRPr="00151C70">
        <w:rPr>
          <w:color w:val="000000"/>
          <w:sz w:val="22"/>
          <w:szCs w:val="22"/>
        </w:rPr>
        <w:t xml:space="preserve"> </w:t>
      </w:r>
      <w:proofErr w:type="spellStart"/>
      <w:r w:rsidRPr="00151C70">
        <w:rPr>
          <w:color w:val="000000"/>
          <w:sz w:val="22"/>
          <w:szCs w:val="22"/>
        </w:rPr>
        <w:t>of</w:t>
      </w:r>
      <w:proofErr w:type="spellEnd"/>
      <w:r w:rsidRPr="00151C70">
        <w:rPr>
          <w:color w:val="000000"/>
          <w:sz w:val="22"/>
          <w:szCs w:val="22"/>
        </w:rPr>
        <w:t xml:space="preserve"> Technology, 1955.</w:t>
      </w:r>
    </w:p>
    <w:sectPr w:rsidR="00626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2CD31" w14:textId="77777777" w:rsidR="00621C7B" w:rsidRDefault="00621C7B">
      <w:r>
        <w:separator/>
      </w:r>
    </w:p>
  </w:endnote>
  <w:endnote w:type="continuationSeparator" w:id="0">
    <w:p w14:paraId="0D52FDB3" w14:textId="77777777" w:rsidR="00621C7B" w:rsidRDefault="0062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9" w14:textId="77777777" w:rsidR="006F4D7B" w:rsidRDefault="006F4D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5" w14:textId="77777777" w:rsidR="006F4D7B" w:rsidRDefault="006F4D7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5"/>
      <w:tblW w:w="9071" w:type="dxa"/>
      <w:tblInd w:w="0" w:type="dxa"/>
      <w:tblLayout w:type="fixed"/>
      <w:tblLook w:val="0400" w:firstRow="0" w:lastRow="0" w:firstColumn="0" w:lastColumn="0" w:noHBand="0" w:noVBand="1"/>
    </w:tblPr>
    <w:tblGrid>
      <w:gridCol w:w="3484"/>
      <w:gridCol w:w="5587"/>
    </w:tblGrid>
    <w:tr w:rsidR="006F4D7B" w14:paraId="6BEBF6B9" w14:textId="77777777">
      <w:trPr>
        <w:trHeight w:val="849"/>
      </w:trPr>
      <w:tc>
        <w:tcPr>
          <w:tcW w:w="3484" w:type="dxa"/>
          <w:shd w:val="clear" w:color="auto" w:fill="auto"/>
          <w:vAlign w:val="center"/>
        </w:tcPr>
        <w:p w14:paraId="00000096" w14:textId="77777777" w:rsidR="006F4D7B" w:rsidRDefault="00111F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3B8CAA8" wp14:editId="434370F6">
                <wp:extent cx="2156460" cy="450215"/>
                <wp:effectExtent l="0" t="0" r="0" b="0"/>
                <wp:docPr id="15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6460" cy="4502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7" w:type="dxa"/>
          <w:shd w:val="clear" w:color="auto" w:fill="auto"/>
          <w:vAlign w:val="center"/>
        </w:tcPr>
        <w:p w14:paraId="00000097" w14:textId="77777777" w:rsidR="006F4D7B" w:rsidRDefault="00111F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0D5176B8" wp14:editId="09443329">
                <wp:extent cx="3541395" cy="334645"/>
                <wp:effectExtent l="0" t="0" r="0" b="0"/>
                <wp:docPr id="1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41395" cy="3346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098" w14:textId="77777777" w:rsidR="006F4D7B" w:rsidRDefault="006F4D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A" w14:textId="77777777" w:rsidR="006F4D7B" w:rsidRDefault="006F4D7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6"/>
      <w:tblW w:w="9071" w:type="dxa"/>
      <w:tblInd w:w="0" w:type="dxa"/>
      <w:tblLayout w:type="fixed"/>
      <w:tblLook w:val="0400" w:firstRow="0" w:lastRow="0" w:firstColumn="0" w:lastColumn="0" w:noHBand="0" w:noVBand="1"/>
    </w:tblPr>
    <w:tblGrid>
      <w:gridCol w:w="3484"/>
      <w:gridCol w:w="5587"/>
    </w:tblGrid>
    <w:tr w:rsidR="006F4D7B" w14:paraId="7C714938" w14:textId="77777777">
      <w:trPr>
        <w:trHeight w:val="849"/>
      </w:trPr>
      <w:tc>
        <w:tcPr>
          <w:tcW w:w="3484" w:type="dxa"/>
          <w:shd w:val="clear" w:color="auto" w:fill="auto"/>
          <w:vAlign w:val="center"/>
        </w:tcPr>
        <w:p w14:paraId="0000009B" w14:textId="77777777" w:rsidR="006F4D7B" w:rsidRDefault="00111F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157E095A" wp14:editId="1F3986B5">
                <wp:extent cx="2156460" cy="450215"/>
                <wp:effectExtent l="0" t="0" r="0" b="0"/>
                <wp:docPr id="17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6460" cy="4502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7" w:type="dxa"/>
          <w:shd w:val="clear" w:color="auto" w:fill="auto"/>
          <w:vAlign w:val="center"/>
        </w:tcPr>
        <w:p w14:paraId="0000009C" w14:textId="77777777" w:rsidR="006F4D7B" w:rsidRDefault="00111F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7CF18C64" wp14:editId="59A3D2D6">
                <wp:extent cx="3541395" cy="334645"/>
                <wp:effectExtent l="0" t="0" r="0" b="0"/>
                <wp:docPr id="1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41395" cy="3346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09D" w14:textId="77777777" w:rsidR="006F4D7B" w:rsidRDefault="006F4D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06BCF" w14:textId="77777777" w:rsidR="00621C7B" w:rsidRDefault="00621C7B">
      <w:r>
        <w:separator/>
      </w:r>
    </w:p>
  </w:footnote>
  <w:footnote w:type="continuationSeparator" w:id="0">
    <w:p w14:paraId="7686247E" w14:textId="77777777" w:rsidR="00621C7B" w:rsidRDefault="00621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4" w14:textId="77777777" w:rsidR="006F4D7B" w:rsidRDefault="006F4D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2" w14:textId="77777777" w:rsidR="006F4D7B" w:rsidRDefault="00111F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66BE800" wp14:editId="34B01F98">
          <wp:extent cx="3630295" cy="764540"/>
          <wp:effectExtent l="0" t="0" r="0" b="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9753" b="27983"/>
                  <a:stretch>
                    <a:fillRect/>
                  </a:stretch>
                </pic:blipFill>
                <pic:spPr>
                  <a:xfrm>
                    <a:off x="0" y="0"/>
                    <a:ext cx="3630295" cy="764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93" w14:textId="77777777" w:rsidR="006F4D7B" w:rsidRDefault="006F4D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0" w14:textId="77777777" w:rsidR="006F4D7B" w:rsidRDefault="00111F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86B55DB" wp14:editId="68C9819B">
          <wp:extent cx="3630295" cy="764540"/>
          <wp:effectExtent l="0" t="0" r="0" b="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9753" b="27983"/>
                  <a:stretch>
                    <a:fillRect/>
                  </a:stretch>
                </pic:blipFill>
                <pic:spPr>
                  <a:xfrm>
                    <a:off x="0" y="0"/>
                    <a:ext cx="3630295" cy="764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91" w14:textId="77777777" w:rsidR="006F4D7B" w:rsidRDefault="006F4D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D7B"/>
    <w:rsid w:val="000643B3"/>
    <w:rsid w:val="000650A1"/>
    <w:rsid w:val="0006678A"/>
    <w:rsid w:val="00111F01"/>
    <w:rsid w:val="00151C70"/>
    <w:rsid w:val="0019427E"/>
    <w:rsid w:val="001E0BED"/>
    <w:rsid w:val="00213E1C"/>
    <w:rsid w:val="00236A1B"/>
    <w:rsid w:val="00287FBC"/>
    <w:rsid w:val="00330D91"/>
    <w:rsid w:val="003379D4"/>
    <w:rsid w:val="00385F4E"/>
    <w:rsid w:val="003A3DBE"/>
    <w:rsid w:val="003E1EED"/>
    <w:rsid w:val="00442A6C"/>
    <w:rsid w:val="004505BC"/>
    <w:rsid w:val="004A5923"/>
    <w:rsid w:val="004F0A33"/>
    <w:rsid w:val="005B7721"/>
    <w:rsid w:val="00621C7B"/>
    <w:rsid w:val="00626A08"/>
    <w:rsid w:val="00695302"/>
    <w:rsid w:val="006F4D7B"/>
    <w:rsid w:val="00775437"/>
    <w:rsid w:val="0081572C"/>
    <w:rsid w:val="00827D5A"/>
    <w:rsid w:val="008574E9"/>
    <w:rsid w:val="00881C8D"/>
    <w:rsid w:val="00883D35"/>
    <w:rsid w:val="008C7495"/>
    <w:rsid w:val="008D0B81"/>
    <w:rsid w:val="00930E7F"/>
    <w:rsid w:val="009C14A6"/>
    <w:rsid w:val="00A26B1E"/>
    <w:rsid w:val="00A4488D"/>
    <w:rsid w:val="00A61DFA"/>
    <w:rsid w:val="00A957FD"/>
    <w:rsid w:val="00AA5400"/>
    <w:rsid w:val="00B47E1A"/>
    <w:rsid w:val="00B62D28"/>
    <w:rsid w:val="00BE5D2A"/>
    <w:rsid w:val="00BF74FB"/>
    <w:rsid w:val="00CE0EBE"/>
    <w:rsid w:val="00D96DDC"/>
    <w:rsid w:val="00E06745"/>
    <w:rsid w:val="00E75D17"/>
    <w:rsid w:val="00E83BB6"/>
    <w:rsid w:val="00F333ED"/>
    <w:rsid w:val="00F9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1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D49"/>
  </w:style>
  <w:style w:type="paragraph" w:styleId="Ttulo1">
    <w:name w:val="heading 1"/>
    <w:basedOn w:val="Normal"/>
    <w:next w:val="Normal"/>
    <w:uiPriority w:val="9"/>
    <w:qFormat/>
    <w:rsid w:val="00563D49"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63D49"/>
    <w:pPr>
      <w:keepNext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686F32"/>
    <w:pPr>
      <w:jc w:val="center"/>
    </w:pPr>
    <w:rPr>
      <w:b/>
      <w:bCs/>
      <w:sz w:val="24"/>
      <w:szCs w:val="24"/>
      <w:u w:val="single"/>
      <w:lang w:eastAsia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sid w:val="00563D49"/>
    <w:rPr>
      <w:sz w:val="24"/>
    </w:rPr>
  </w:style>
  <w:style w:type="paragraph" w:styleId="Corpodetexto2">
    <w:name w:val="Body Text 2"/>
    <w:basedOn w:val="Normal"/>
    <w:rsid w:val="00563D49"/>
    <w:rPr>
      <w:sz w:val="22"/>
    </w:rPr>
  </w:style>
  <w:style w:type="paragraph" w:styleId="Textodenotaderodap">
    <w:name w:val="footnote text"/>
    <w:basedOn w:val="Normal"/>
    <w:semiHidden/>
    <w:rsid w:val="00563D49"/>
  </w:style>
  <w:style w:type="character" w:styleId="Refdenotaderodap">
    <w:name w:val="footnote reference"/>
    <w:semiHidden/>
    <w:rsid w:val="00563D49"/>
    <w:rPr>
      <w:vertAlign w:val="superscript"/>
    </w:rPr>
  </w:style>
  <w:style w:type="paragraph" w:styleId="Cabealho">
    <w:name w:val="header"/>
    <w:basedOn w:val="Normal"/>
    <w:rsid w:val="00563D4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63D49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563D49"/>
    <w:rPr>
      <w:color w:val="0000FF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9020E0"/>
    <w:pPr>
      <w:suppressAutoHyphens/>
    </w:pPr>
    <w:rPr>
      <w:rFonts w:eastAsia="SimSun"/>
      <w:b/>
      <w:bCs/>
      <w:lang w:val="en-US" w:eastAsia="ar-SA"/>
    </w:rPr>
  </w:style>
  <w:style w:type="paragraph" w:customStyle="1" w:styleId="Default">
    <w:name w:val="Default"/>
    <w:rsid w:val="009B44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B44C1"/>
    <w:pPr>
      <w:spacing w:before="100" w:beforeAutospacing="1" w:after="100" w:afterAutospacing="1"/>
    </w:pPr>
    <w:rPr>
      <w:sz w:val="24"/>
      <w:szCs w:val="24"/>
    </w:rPr>
  </w:style>
  <w:style w:type="character" w:customStyle="1" w:styleId="TtuloChar">
    <w:name w:val="Título Char"/>
    <w:link w:val="Ttulo"/>
    <w:rsid w:val="00686F32"/>
    <w:rPr>
      <w:b/>
      <w:bCs/>
      <w:sz w:val="24"/>
      <w:szCs w:val="24"/>
      <w:u w:val="single"/>
      <w:lang w:eastAsia="en-US"/>
    </w:rPr>
  </w:style>
  <w:style w:type="paragraph" w:customStyle="1" w:styleId="Text">
    <w:name w:val="Text"/>
    <w:basedOn w:val="Normal"/>
    <w:rsid w:val="00FB49D8"/>
    <w:pPr>
      <w:widowControl w:val="0"/>
      <w:autoSpaceDE w:val="0"/>
      <w:autoSpaceDN w:val="0"/>
      <w:spacing w:line="252" w:lineRule="auto"/>
      <w:ind w:firstLine="202"/>
      <w:jc w:val="both"/>
    </w:pPr>
    <w:rPr>
      <w:lang w:val="en-US" w:eastAsia="en-US"/>
    </w:rPr>
  </w:style>
  <w:style w:type="character" w:customStyle="1" w:styleId="A1">
    <w:name w:val="A1"/>
    <w:uiPriority w:val="99"/>
    <w:rsid w:val="00FB49D8"/>
    <w:rPr>
      <w:color w:val="000000"/>
      <w:sz w:val="20"/>
      <w:szCs w:val="20"/>
    </w:rPr>
  </w:style>
  <w:style w:type="character" w:customStyle="1" w:styleId="A2">
    <w:name w:val="A2"/>
    <w:uiPriority w:val="99"/>
    <w:rsid w:val="00FB49D8"/>
    <w:rPr>
      <w:color w:val="000000"/>
      <w:sz w:val="11"/>
      <w:szCs w:val="11"/>
    </w:rPr>
  </w:style>
  <w:style w:type="paragraph" w:styleId="TextosemFormatao">
    <w:name w:val="Plain Text"/>
    <w:basedOn w:val="Normal"/>
    <w:link w:val="TextosemFormataoChar"/>
    <w:unhideWhenUsed/>
    <w:rsid w:val="004822E1"/>
    <w:pPr>
      <w:spacing w:beforeAutospacing="1" w:afterAutospacing="1"/>
      <w:jc w:val="both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link w:val="TextosemFormatao"/>
    <w:rsid w:val="004822E1"/>
    <w:rPr>
      <w:rFonts w:ascii="Consolas" w:hAnsi="Consolas"/>
      <w:sz w:val="21"/>
      <w:szCs w:val="21"/>
    </w:rPr>
  </w:style>
  <w:style w:type="paragraph" w:styleId="Textodebalo">
    <w:name w:val="Balloon Text"/>
    <w:basedOn w:val="Normal"/>
    <w:link w:val="TextodebaloChar"/>
    <w:rsid w:val="00C350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350B6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4774F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774F8"/>
  </w:style>
  <w:style w:type="character" w:customStyle="1" w:styleId="TextodecomentrioChar">
    <w:name w:val="Texto de comentário Char"/>
    <w:basedOn w:val="Fontepargpadro"/>
    <w:link w:val="Textodecomentrio"/>
    <w:rsid w:val="004774F8"/>
  </w:style>
  <w:style w:type="paragraph" w:styleId="Assuntodocomentrio">
    <w:name w:val="annotation subject"/>
    <w:basedOn w:val="Textodecomentrio"/>
    <w:next w:val="Textodecomentrio"/>
    <w:link w:val="AssuntodocomentrioChar"/>
    <w:rsid w:val="004774F8"/>
    <w:rPr>
      <w:b/>
      <w:bCs/>
    </w:rPr>
  </w:style>
  <w:style w:type="character" w:customStyle="1" w:styleId="AssuntodocomentrioChar">
    <w:name w:val="Assunto do comentário Char"/>
    <w:link w:val="Assuntodocomentrio"/>
    <w:rsid w:val="004774F8"/>
    <w:rPr>
      <w:b/>
      <w:bCs/>
    </w:rPr>
  </w:style>
  <w:style w:type="paragraph" w:customStyle="1" w:styleId="p11">
    <w:name w:val="p11"/>
    <w:basedOn w:val="Normal"/>
    <w:rsid w:val="00E93BF5"/>
    <w:pPr>
      <w:widowControl w:val="0"/>
      <w:tabs>
        <w:tab w:val="left" w:pos="720"/>
      </w:tabs>
      <w:spacing w:line="240" w:lineRule="atLeast"/>
      <w:jc w:val="both"/>
    </w:pPr>
    <w:rPr>
      <w:snapToGrid w:val="0"/>
      <w:sz w:val="24"/>
    </w:rPr>
  </w:style>
  <w:style w:type="table" w:styleId="Tabelacomgrade">
    <w:name w:val="Table Grid"/>
    <w:basedOn w:val="Tabelanormal"/>
    <w:uiPriority w:val="39"/>
    <w:rsid w:val="0069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16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semiHidden/>
    <w:rsid w:val="00E1644E"/>
    <w:rPr>
      <w:rFonts w:ascii="Courier New" w:hAnsi="Courier New" w:cs="Courier New"/>
    </w:rPr>
  </w:style>
  <w:style w:type="character" w:customStyle="1" w:styleId="y2iqfc">
    <w:name w:val="y2iqfc"/>
    <w:basedOn w:val="Fontepargpadro"/>
    <w:rsid w:val="00E1644E"/>
  </w:style>
  <w:style w:type="character" w:customStyle="1" w:styleId="MenoPendente1">
    <w:name w:val="Menção Pendente1"/>
    <w:uiPriority w:val="99"/>
    <w:semiHidden/>
    <w:unhideWhenUsed/>
    <w:rsid w:val="00557C60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D2364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nmet.gov.br/portal/index.php?r=clima/normaisClimatologica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j1K6GCAhhwtt4gV37SR3k3MojA==">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1977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2023-06-28T10:37:00Z</dcterms:created>
  <dcterms:modified xsi:type="dcterms:W3CDTF">2023-06-28T12:18:00Z</dcterms:modified>
</cp:coreProperties>
</file>