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98EEC" w14:textId="77777777" w:rsidR="00C4500C" w:rsidRDefault="00800BD3" w:rsidP="00800BD3">
      <w:pPr>
        <w:pStyle w:val="TextosemFormatao"/>
        <w:spacing w:afterAutospacing="0"/>
        <w:ind w:right="-518"/>
        <w:jc w:val="center"/>
        <w:rPr>
          <w:rFonts w:ascii="Times New Roman" w:hAnsi="Times New Roman"/>
          <w:b/>
          <w:sz w:val="24"/>
          <w:szCs w:val="24"/>
          <w:lang w:val="pt-BR"/>
        </w:rPr>
      </w:pPr>
      <w:r>
        <w:rPr>
          <w:rFonts w:ascii="Times New Roman" w:hAnsi="Times New Roman"/>
          <w:b/>
          <w:sz w:val="24"/>
          <w:szCs w:val="24"/>
          <w:lang w:val="pt-BR"/>
        </w:rPr>
        <w:t xml:space="preserve">TERMOACUMULAÇÃO DE ÁGUA GELADA PARA REDUÇÃO DE DEMANDA DE ENERGIA ELÉTRICA EM UM EMPREENDIMENTO COMERCIAL </w:t>
      </w:r>
    </w:p>
    <w:p w14:paraId="68FCF31C" w14:textId="77777777" w:rsidR="00BF1A84" w:rsidRPr="00446D3A" w:rsidRDefault="00BF1A84" w:rsidP="002D7202">
      <w:pPr>
        <w:pStyle w:val="TextosemFormatao"/>
        <w:spacing w:beforeAutospacing="0" w:afterAutospacing="0"/>
        <w:ind w:right="-518"/>
        <w:jc w:val="center"/>
        <w:rPr>
          <w:rFonts w:ascii="Times New Roman" w:hAnsi="Times New Roman"/>
          <w:b/>
          <w:sz w:val="24"/>
          <w:szCs w:val="24"/>
          <w:lang w:val="pt-BR"/>
        </w:rPr>
      </w:pPr>
    </w:p>
    <w:p w14:paraId="4B077148" w14:textId="2EED54CF" w:rsidR="00367E45" w:rsidRPr="0020459D" w:rsidRDefault="00800BD3" w:rsidP="008C436D">
      <w:pPr>
        <w:ind w:right="-1"/>
        <w:jc w:val="both"/>
      </w:pPr>
      <w:r>
        <w:t>ALEXSANDRO ANDRADE DA SILVA</w:t>
      </w:r>
      <w:r w:rsidR="006D69DB" w:rsidRPr="0020459D">
        <w:rPr>
          <w:vertAlign w:val="superscript"/>
        </w:rPr>
        <w:t>1</w:t>
      </w:r>
      <w:r w:rsidR="0020459D">
        <w:t xml:space="preserve">, </w:t>
      </w:r>
      <w:r>
        <w:t xml:space="preserve">FRANCISCO JOSÉ </w:t>
      </w:r>
      <w:r w:rsidR="00D1550C">
        <w:t xml:space="preserve">COSTA </w:t>
      </w:r>
      <w:r>
        <w:t>ARAÚJO</w:t>
      </w:r>
      <w:r w:rsidR="00DA381B" w:rsidRPr="0020459D">
        <w:rPr>
          <w:vertAlign w:val="superscript"/>
        </w:rPr>
        <w:t>2</w:t>
      </w:r>
    </w:p>
    <w:p w14:paraId="7791B783" w14:textId="77777777" w:rsidR="00367E45" w:rsidRPr="00446D3A" w:rsidRDefault="00367E45" w:rsidP="00380272">
      <w:pPr>
        <w:ind w:right="-518"/>
        <w:jc w:val="center"/>
      </w:pPr>
    </w:p>
    <w:p w14:paraId="2C3A0D0F" w14:textId="355347BD" w:rsidR="00E74C1E" w:rsidRPr="00446D3A" w:rsidRDefault="0094773C" w:rsidP="0020459D">
      <w:pPr>
        <w:jc w:val="both"/>
        <w:rPr>
          <w:rStyle w:val="Hyperlink"/>
          <w:color w:val="auto"/>
          <w:u w:val="none"/>
        </w:rPr>
      </w:pPr>
      <w:r w:rsidRPr="00446D3A">
        <w:rPr>
          <w:vertAlign w:val="superscript"/>
        </w:rPr>
        <w:t>1</w:t>
      </w:r>
      <w:r w:rsidR="001023F2">
        <w:t>Graduando em</w:t>
      </w:r>
      <w:r w:rsidR="00B92733">
        <w:t xml:space="preserve"> Engenharia Elétrica Eletrotécnica, UPE, Recife-PE, a</w:t>
      </w:r>
      <w:r w:rsidR="005213C2">
        <w:t>a</w:t>
      </w:r>
      <w:r w:rsidR="00B92733">
        <w:t>s2@poli.br;</w:t>
      </w:r>
      <w:r w:rsidRPr="00446D3A">
        <w:t xml:space="preserve"> </w:t>
      </w:r>
    </w:p>
    <w:p w14:paraId="4A13C4A7" w14:textId="50190BAA" w:rsidR="008431A3" w:rsidRPr="00446D3A" w:rsidRDefault="008431A3" w:rsidP="0020459D">
      <w:pPr>
        <w:jc w:val="both"/>
        <w:rPr>
          <w:szCs w:val="22"/>
        </w:rPr>
      </w:pPr>
      <w:r w:rsidRPr="00446D3A">
        <w:rPr>
          <w:szCs w:val="22"/>
          <w:vertAlign w:val="superscript"/>
        </w:rPr>
        <w:t>2</w:t>
      </w:r>
      <w:r w:rsidR="00E56BE7">
        <w:rPr>
          <w:szCs w:val="22"/>
        </w:rPr>
        <w:t xml:space="preserve">Dr. em </w:t>
      </w:r>
      <w:r w:rsidR="00B92733">
        <w:rPr>
          <w:szCs w:val="22"/>
        </w:rPr>
        <w:t>Engenharia</w:t>
      </w:r>
      <w:r w:rsidR="00B941C4">
        <w:rPr>
          <w:szCs w:val="22"/>
        </w:rPr>
        <w:t xml:space="preserve"> de Produção</w:t>
      </w:r>
      <w:r w:rsidR="00E56BE7">
        <w:rPr>
          <w:szCs w:val="22"/>
        </w:rPr>
        <w:t>, Prof.</w:t>
      </w:r>
      <w:r w:rsidRPr="00446D3A">
        <w:rPr>
          <w:szCs w:val="22"/>
        </w:rPr>
        <w:t xml:space="preserve"> </w:t>
      </w:r>
      <w:r w:rsidR="001023F2">
        <w:rPr>
          <w:szCs w:val="22"/>
        </w:rPr>
        <w:t>Adj.</w:t>
      </w:r>
      <w:r w:rsidR="00E56BE7">
        <w:rPr>
          <w:szCs w:val="22"/>
        </w:rPr>
        <w:t xml:space="preserve"> </w:t>
      </w:r>
      <w:r w:rsidR="00B92733">
        <w:rPr>
          <w:szCs w:val="22"/>
        </w:rPr>
        <w:t>UPE</w:t>
      </w:r>
      <w:r w:rsidR="00E56BE7">
        <w:rPr>
          <w:szCs w:val="22"/>
        </w:rPr>
        <w:t xml:space="preserve">, </w:t>
      </w:r>
      <w:r w:rsidR="00B92733">
        <w:t>Recife</w:t>
      </w:r>
      <w:r w:rsidRPr="00446D3A">
        <w:t>-P</w:t>
      </w:r>
      <w:r w:rsidR="00B92733">
        <w:t>E</w:t>
      </w:r>
      <w:r w:rsidRPr="00446D3A">
        <w:t xml:space="preserve">, </w:t>
      </w:r>
      <w:r w:rsidR="00B92733" w:rsidRPr="00B92733">
        <w:t>francisco.araujo@</w:t>
      </w:r>
      <w:r w:rsidR="00F831B5">
        <w:t>upe</w:t>
      </w:r>
      <w:r w:rsidR="00B92733" w:rsidRPr="00B92733">
        <w:t>.</w:t>
      </w:r>
      <w:r w:rsidR="00941AFB">
        <w:t>br</w:t>
      </w:r>
    </w:p>
    <w:p w14:paraId="736C0A17" w14:textId="77777777" w:rsidR="00E56BE7" w:rsidRPr="00E56BE7" w:rsidRDefault="00E56BE7" w:rsidP="00E56BE7">
      <w:pPr>
        <w:jc w:val="center"/>
        <w:rPr>
          <w:szCs w:val="22"/>
        </w:rPr>
      </w:pPr>
    </w:p>
    <w:p w14:paraId="12CC02E1" w14:textId="77777777" w:rsidR="00E74C1E" w:rsidRPr="00446D3A" w:rsidRDefault="00E74C1E" w:rsidP="00380272">
      <w:pPr>
        <w:jc w:val="center"/>
        <w:rPr>
          <w:sz w:val="22"/>
          <w:szCs w:val="22"/>
        </w:rPr>
      </w:pPr>
      <w:r w:rsidRPr="00446D3A">
        <w:rPr>
          <w:sz w:val="22"/>
          <w:szCs w:val="22"/>
        </w:rPr>
        <w:t xml:space="preserve">Apresentado no            </w:t>
      </w:r>
    </w:p>
    <w:p w14:paraId="37972238" w14:textId="77777777" w:rsidR="00E74C1E" w:rsidRPr="00446D3A" w:rsidRDefault="00E74C1E" w:rsidP="00380272">
      <w:pPr>
        <w:jc w:val="center"/>
        <w:rPr>
          <w:sz w:val="22"/>
          <w:szCs w:val="22"/>
        </w:rPr>
      </w:pPr>
      <w:r w:rsidRPr="00446D3A">
        <w:rPr>
          <w:sz w:val="22"/>
          <w:szCs w:val="22"/>
        </w:rPr>
        <w:t>Congresso Técnico Científico da Enge</w:t>
      </w:r>
      <w:r w:rsidR="009A1D67">
        <w:rPr>
          <w:sz w:val="22"/>
          <w:szCs w:val="22"/>
        </w:rPr>
        <w:t>nharia e da Agronomia – CONTECC</w:t>
      </w:r>
    </w:p>
    <w:p w14:paraId="3C0885D3" w14:textId="77777777" w:rsidR="00D06A0C" w:rsidRPr="00446D3A" w:rsidRDefault="008A3633" w:rsidP="00380272">
      <w:pPr>
        <w:jc w:val="center"/>
        <w:rPr>
          <w:sz w:val="22"/>
          <w:szCs w:val="22"/>
        </w:rPr>
      </w:pPr>
      <w:r>
        <w:rPr>
          <w:sz w:val="22"/>
          <w:szCs w:val="22"/>
        </w:rPr>
        <w:t>08</w:t>
      </w:r>
      <w:r w:rsidR="00CB3747">
        <w:rPr>
          <w:sz w:val="22"/>
          <w:szCs w:val="22"/>
        </w:rPr>
        <w:t xml:space="preserve"> a </w:t>
      </w:r>
      <w:r>
        <w:rPr>
          <w:sz w:val="22"/>
          <w:szCs w:val="22"/>
        </w:rPr>
        <w:t>11</w:t>
      </w:r>
      <w:r w:rsidR="00CB3747">
        <w:rPr>
          <w:sz w:val="22"/>
          <w:szCs w:val="22"/>
        </w:rPr>
        <w:t xml:space="preserve"> de </w:t>
      </w:r>
      <w:r>
        <w:rPr>
          <w:sz w:val="22"/>
          <w:szCs w:val="22"/>
        </w:rPr>
        <w:t>agosto</w:t>
      </w:r>
      <w:r w:rsidR="00CB3747">
        <w:rPr>
          <w:sz w:val="22"/>
          <w:szCs w:val="22"/>
        </w:rPr>
        <w:t xml:space="preserve"> de </w:t>
      </w:r>
      <w:r w:rsidR="00D06A0C">
        <w:rPr>
          <w:sz w:val="22"/>
          <w:szCs w:val="22"/>
        </w:rPr>
        <w:t>20</w:t>
      </w:r>
      <w:r w:rsidR="00D40D87">
        <w:rPr>
          <w:sz w:val="22"/>
          <w:szCs w:val="22"/>
        </w:rPr>
        <w:t>2</w:t>
      </w:r>
      <w:r>
        <w:rPr>
          <w:sz w:val="22"/>
          <w:szCs w:val="22"/>
        </w:rPr>
        <w:t>3</w:t>
      </w:r>
    </w:p>
    <w:p w14:paraId="2E02D46F" w14:textId="77777777" w:rsidR="00E74C1E" w:rsidRPr="00446D3A" w:rsidRDefault="00E74C1E" w:rsidP="00380272">
      <w:pPr>
        <w:jc w:val="center"/>
        <w:rPr>
          <w:szCs w:val="22"/>
        </w:rPr>
      </w:pPr>
    </w:p>
    <w:p w14:paraId="1A94227F" w14:textId="22708B8C" w:rsidR="0069314C" w:rsidRPr="0074058A" w:rsidRDefault="00E74C1E" w:rsidP="00376193">
      <w:pPr>
        <w:jc w:val="both"/>
        <w:rPr>
          <w:sz w:val="22"/>
          <w:szCs w:val="22"/>
          <w:lang w:val="en-US"/>
        </w:rPr>
      </w:pPr>
      <w:r w:rsidRPr="00446D3A">
        <w:rPr>
          <w:b/>
          <w:sz w:val="22"/>
          <w:szCs w:val="22"/>
        </w:rPr>
        <w:t>RESUMO</w:t>
      </w:r>
      <w:r w:rsidR="0069314C">
        <w:rPr>
          <w:sz w:val="22"/>
          <w:szCs w:val="22"/>
        </w:rPr>
        <w:t>:</w:t>
      </w:r>
      <w:r w:rsidR="0069314C">
        <w:rPr>
          <w:sz w:val="22"/>
          <w:szCs w:val="22"/>
          <w:lang w:val="en-US"/>
        </w:rPr>
        <w:t xml:space="preserve"> </w:t>
      </w:r>
      <w:r w:rsidR="0069314C" w:rsidRPr="00F239C2">
        <w:rPr>
          <w:sz w:val="22"/>
          <w:szCs w:val="22"/>
          <w:lang w:val="en-US"/>
        </w:rPr>
        <w:t xml:space="preserve">O </w:t>
      </w:r>
      <w:proofErr w:type="spellStart"/>
      <w:r w:rsidR="0069314C" w:rsidRPr="00F239C2">
        <w:rPr>
          <w:sz w:val="22"/>
          <w:szCs w:val="22"/>
          <w:lang w:val="en-US"/>
        </w:rPr>
        <w:t>consumo</w:t>
      </w:r>
      <w:proofErr w:type="spellEnd"/>
      <w:r w:rsidR="0069314C" w:rsidRPr="00F239C2">
        <w:rPr>
          <w:sz w:val="22"/>
          <w:szCs w:val="22"/>
          <w:lang w:val="en-US"/>
        </w:rPr>
        <w:t xml:space="preserve"> </w:t>
      </w:r>
      <w:proofErr w:type="spellStart"/>
      <w:r w:rsidR="0069314C" w:rsidRPr="00F239C2">
        <w:rPr>
          <w:sz w:val="22"/>
          <w:szCs w:val="22"/>
          <w:lang w:val="en-US"/>
        </w:rPr>
        <w:t>excessivo</w:t>
      </w:r>
      <w:proofErr w:type="spellEnd"/>
      <w:r w:rsidR="0069314C" w:rsidRPr="00F239C2">
        <w:rPr>
          <w:sz w:val="22"/>
          <w:szCs w:val="22"/>
          <w:lang w:val="en-US"/>
        </w:rPr>
        <w:t xml:space="preserve"> e o </w:t>
      </w:r>
      <w:proofErr w:type="spellStart"/>
      <w:r w:rsidR="0069314C" w:rsidRPr="00F239C2">
        <w:rPr>
          <w:sz w:val="22"/>
          <w:szCs w:val="22"/>
          <w:lang w:val="en-US"/>
        </w:rPr>
        <w:t>desperdício</w:t>
      </w:r>
      <w:proofErr w:type="spellEnd"/>
      <w:r w:rsidR="0069314C" w:rsidRPr="00F239C2">
        <w:rPr>
          <w:sz w:val="22"/>
          <w:szCs w:val="22"/>
          <w:lang w:val="en-US"/>
        </w:rPr>
        <w:t xml:space="preserve"> de </w:t>
      </w:r>
      <w:proofErr w:type="spellStart"/>
      <w:r w:rsidR="0069314C" w:rsidRPr="00F239C2">
        <w:rPr>
          <w:sz w:val="22"/>
          <w:szCs w:val="22"/>
          <w:lang w:val="en-US"/>
        </w:rPr>
        <w:t>energia</w:t>
      </w:r>
      <w:proofErr w:type="spellEnd"/>
      <w:r w:rsidR="0069314C" w:rsidRPr="00F239C2">
        <w:rPr>
          <w:sz w:val="22"/>
          <w:szCs w:val="22"/>
          <w:lang w:val="en-US"/>
        </w:rPr>
        <w:t xml:space="preserve"> </w:t>
      </w:r>
      <w:proofErr w:type="spellStart"/>
      <w:r w:rsidR="0069314C" w:rsidRPr="00F239C2">
        <w:rPr>
          <w:sz w:val="22"/>
          <w:szCs w:val="22"/>
          <w:lang w:val="en-US"/>
        </w:rPr>
        <w:t>elétrica</w:t>
      </w:r>
      <w:proofErr w:type="spellEnd"/>
      <w:r w:rsidR="0069314C" w:rsidRPr="00F239C2">
        <w:rPr>
          <w:sz w:val="22"/>
          <w:szCs w:val="22"/>
          <w:lang w:val="en-US"/>
        </w:rPr>
        <w:t xml:space="preserve"> </w:t>
      </w:r>
      <w:proofErr w:type="spellStart"/>
      <w:r w:rsidR="0069314C" w:rsidRPr="00F239C2">
        <w:rPr>
          <w:sz w:val="22"/>
          <w:szCs w:val="22"/>
          <w:lang w:val="en-US"/>
        </w:rPr>
        <w:t>são</w:t>
      </w:r>
      <w:proofErr w:type="spellEnd"/>
      <w:r w:rsidR="0069314C" w:rsidRPr="00F239C2">
        <w:rPr>
          <w:sz w:val="22"/>
          <w:szCs w:val="22"/>
          <w:lang w:val="en-US"/>
        </w:rPr>
        <w:t xml:space="preserve"> </w:t>
      </w:r>
      <w:proofErr w:type="spellStart"/>
      <w:r w:rsidR="0069314C" w:rsidRPr="00F239C2">
        <w:rPr>
          <w:sz w:val="22"/>
          <w:szCs w:val="22"/>
          <w:lang w:val="en-US"/>
        </w:rPr>
        <w:t>desafios</w:t>
      </w:r>
      <w:proofErr w:type="spellEnd"/>
      <w:r w:rsidR="0069314C" w:rsidRPr="00F239C2">
        <w:rPr>
          <w:sz w:val="22"/>
          <w:szCs w:val="22"/>
          <w:lang w:val="en-US"/>
        </w:rPr>
        <w:t xml:space="preserve"> </w:t>
      </w:r>
      <w:proofErr w:type="spellStart"/>
      <w:r w:rsidR="0069314C" w:rsidRPr="00F239C2">
        <w:rPr>
          <w:sz w:val="22"/>
          <w:szCs w:val="22"/>
          <w:lang w:val="en-US"/>
        </w:rPr>
        <w:t>recorrentes</w:t>
      </w:r>
      <w:proofErr w:type="spellEnd"/>
      <w:r w:rsidR="0069314C" w:rsidRPr="00F239C2">
        <w:rPr>
          <w:sz w:val="22"/>
          <w:szCs w:val="22"/>
          <w:lang w:val="en-US"/>
        </w:rPr>
        <w:t xml:space="preserve"> </w:t>
      </w:r>
      <w:proofErr w:type="spellStart"/>
      <w:r w:rsidR="0069314C" w:rsidRPr="00F239C2">
        <w:rPr>
          <w:sz w:val="22"/>
          <w:szCs w:val="22"/>
          <w:lang w:val="en-US"/>
        </w:rPr>
        <w:t>na</w:t>
      </w:r>
      <w:proofErr w:type="spellEnd"/>
      <w:r w:rsidR="0069314C" w:rsidRPr="00F239C2">
        <w:rPr>
          <w:sz w:val="22"/>
          <w:szCs w:val="22"/>
          <w:lang w:val="en-US"/>
        </w:rPr>
        <w:t xml:space="preserve"> </w:t>
      </w:r>
      <w:proofErr w:type="spellStart"/>
      <w:r w:rsidR="0069314C" w:rsidRPr="00F239C2">
        <w:rPr>
          <w:sz w:val="22"/>
          <w:szCs w:val="22"/>
          <w:lang w:val="en-US"/>
        </w:rPr>
        <w:t>indústria</w:t>
      </w:r>
      <w:proofErr w:type="spellEnd"/>
      <w:r w:rsidR="0069314C" w:rsidRPr="00F239C2">
        <w:rPr>
          <w:sz w:val="22"/>
          <w:szCs w:val="22"/>
          <w:lang w:val="en-US"/>
        </w:rPr>
        <w:t xml:space="preserve"> e </w:t>
      </w:r>
      <w:proofErr w:type="spellStart"/>
      <w:r w:rsidR="0069314C" w:rsidRPr="00F239C2">
        <w:rPr>
          <w:sz w:val="22"/>
          <w:szCs w:val="22"/>
          <w:lang w:val="en-US"/>
        </w:rPr>
        <w:t>empreendimentos</w:t>
      </w:r>
      <w:proofErr w:type="spellEnd"/>
      <w:r w:rsidR="0069314C" w:rsidRPr="00F239C2">
        <w:rPr>
          <w:sz w:val="22"/>
          <w:szCs w:val="22"/>
          <w:lang w:val="en-US"/>
        </w:rPr>
        <w:t xml:space="preserve">. Nesse </w:t>
      </w:r>
      <w:proofErr w:type="spellStart"/>
      <w:r w:rsidR="0069314C" w:rsidRPr="00F239C2">
        <w:rPr>
          <w:sz w:val="22"/>
          <w:szCs w:val="22"/>
          <w:lang w:val="en-US"/>
        </w:rPr>
        <w:t>sentido</w:t>
      </w:r>
      <w:proofErr w:type="spellEnd"/>
      <w:r w:rsidR="0069314C" w:rsidRPr="00F239C2">
        <w:rPr>
          <w:sz w:val="22"/>
          <w:szCs w:val="22"/>
          <w:lang w:val="en-US"/>
        </w:rPr>
        <w:t xml:space="preserve">, a </w:t>
      </w:r>
      <w:proofErr w:type="spellStart"/>
      <w:r w:rsidR="0069314C" w:rsidRPr="00F239C2">
        <w:rPr>
          <w:sz w:val="22"/>
          <w:szCs w:val="22"/>
          <w:lang w:val="en-US"/>
        </w:rPr>
        <w:t>reflexão</w:t>
      </w:r>
      <w:proofErr w:type="spellEnd"/>
      <w:r w:rsidR="0069314C" w:rsidRPr="00F239C2">
        <w:rPr>
          <w:sz w:val="22"/>
          <w:szCs w:val="22"/>
          <w:lang w:val="en-US"/>
        </w:rPr>
        <w:t xml:space="preserve"> </w:t>
      </w:r>
      <w:proofErr w:type="spellStart"/>
      <w:r w:rsidR="0069314C" w:rsidRPr="00F239C2">
        <w:rPr>
          <w:sz w:val="22"/>
          <w:szCs w:val="22"/>
          <w:lang w:val="en-US"/>
        </w:rPr>
        <w:t>sobre</w:t>
      </w:r>
      <w:proofErr w:type="spellEnd"/>
      <w:r w:rsidR="0069314C" w:rsidRPr="00F239C2">
        <w:rPr>
          <w:sz w:val="22"/>
          <w:szCs w:val="22"/>
          <w:lang w:val="en-US"/>
        </w:rPr>
        <w:t xml:space="preserve"> </w:t>
      </w:r>
      <w:proofErr w:type="spellStart"/>
      <w:r w:rsidR="0069314C" w:rsidRPr="00F239C2">
        <w:rPr>
          <w:sz w:val="22"/>
          <w:szCs w:val="22"/>
          <w:lang w:val="en-US"/>
        </w:rPr>
        <w:t>eficiência</w:t>
      </w:r>
      <w:proofErr w:type="spellEnd"/>
      <w:r w:rsidR="0069314C" w:rsidRPr="00F239C2">
        <w:rPr>
          <w:sz w:val="22"/>
          <w:szCs w:val="22"/>
          <w:lang w:val="en-US"/>
        </w:rPr>
        <w:t xml:space="preserve"> </w:t>
      </w:r>
      <w:proofErr w:type="spellStart"/>
      <w:r w:rsidR="0069314C" w:rsidRPr="00F239C2">
        <w:rPr>
          <w:sz w:val="22"/>
          <w:szCs w:val="22"/>
          <w:lang w:val="en-US"/>
        </w:rPr>
        <w:t>energética</w:t>
      </w:r>
      <w:proofErr w:type="spellEnd"/>
      <w:r w:rsidR="0069314C" w:rsidRPr="00F239C2">
        <w:rPr>
          <w:sz w:val="22"/>
          <w:szCs w:val="22"/>
          <w:lang w:val="en-US"/>
        </w:rPr>
        <w:t xml:space="preserve"> </w:t>
      </w:r>
      <w:proofErr w:type="spellStart"/>
      <w:r w:rsidR="0069314C" w:rsidRPr="00F239C2">
        <w:rPr>
          <w:sz w:val="22"/>
          <w:szCs w:val="22"/>
          <w:lang w:val="en-US"/>
        </w:rPr>
        <w:t>torna</w:t>
      </w:r>
      <w:proofErr w:type="spellEnd"/>
      <w:r w:rsidR="0069314C" w:rsidRPr="00F239C2">
        <w:rPr>
          <w:sz w:val="22"/>
          <w:szCs w:val="22"/>
          <w:lang w:val="en-US"/>
        </w:rPr>
        <w:t xml:space="preserve">-se </w:t>
      </w:r>
      <w:proofErr w:type="spellStart"/>
      <w:r w:rsidR="0069314C" w:rsidRPr="00F239C2">
        <w:rPr>
          <w:sz w:val="22"/>
          <w:szCs w:val="22"/>
          <w:lang w:val="en-US"/>
        </w:rPr>
        <w:t>essencial</w:t>
      </w:r>
      <w:proofErr w:type="spellEnd"/>
      <w:r w:rsidR="0069314C" w:rsidRPr="00F239C2">
        <w:rPr>
          <w:sz w:val="22"/>
          <w:szCs w:val="22"/>
          <w:lang w:val="en-US"/>
        </w:rPr>
        <w:t xml:space="preserve">, </w:t>
      </w:r>
      <w:proofErr w:type="spellStart"/>
      <w:r w:rsidR="0069314C" w:rsidRPr="00F239C2">
        <w:rPr>
          <w:sz w:val="22"/>
          <w:szCs w:val="22"/>
          <w:lang w:val="en-US"/>
        </w:rPr>
        <w:t>buscando</w:t>
      </w:r>
      <w:proofErr w:type="spellEnd"/>
      <w:r w:rsidR="0069314C" w:rsidRPr="00F239C2">
        <w:rPr>
          <w:sz w:val="22"/>
          <w:szCs w:val="22"/>
          <w:lang w:val="en-US"/>
        </w:rPr>
        <w:t xml:space="preserve"> </w:t>
      </w:r>
      <w:proofErr w:type="spellStart"/>
      <w:r w:rsidR="0069314C" w:rsidRPr="00F239C2">
        <w:rPr>
          <w:sz w:val="22"/>
          <w:szCs w:val="22"/>
          <w:lang w:val="en-US"/>
        </w:rPr>
        <w:t>não</w:t>
      </w:r>
      <w:proofErr w:type="spellEnd"/>
      <w:r w:rsidR="0069314C" w:rsidRPr="00F239C2">
        <w:rPr>
          <w:sz w:val="22"/>
          <w:szCs w:val="22"/>
          <w:lang w:val="en-US"/>
        </w:rPr>
        <w:t xml:space="preserve"> </w:t>
      </w:r>
      <w:proofErr w:type="spellStart"/>
      <w:r w:rsidR="0069314C" w:rsidRPr="00F239C2">
        <w:rPr>
          <w:sz w:val="22"/>
          <w:szCs w:val="22"/>
          <w:lang w:val="en-US"/>
        </w:rPr>
        <w:t>apenas</w:t>
      </w:r>
      <w:proofErr w:type="spellEnd"/>
      <w:r w:rsidR="0069314C" w:rsidRPr="00F239C2">
        <w:rPr>
          <w:sz w:val="22"/>
          <w:szCs w:val="22"/>
          <w:lang w:val="en-US"/>
        </w:rPr>
        <w:t xml:space="preserve"> a </w:t>
      </w:r>
      <w:proofErr w:type="spellStart"/>
      <w:r w:rsidR="0069314C" w:rsidRPr="00F239C2">
        <w:rPr>
          <w:sz w:val="22"/>
          <w:szCs w:val="22"/>
          <w:lang w:val="en-US"/>
        </w:rPr>
        <w:t>redução</w:t>
      </w:r>
      <w:proofErr w:type="spellEnd"/>
      <w:r w:rsidR="0069314C" w:rsidRPr="00F239C2">
        <w:rPr>
          <w:sz w:val="22"/>
          <w:szCs w:val="22"/>
          <w:lang w:val="en-US"/>
        </w:rPr>
        <w:t xml:space="preserve"> de </w:t>
      </w:r>
      <w:proofErr w:type="spellStart"/>
      <w:r w:rsidR="0069314C" w:rsidRPr="00F239C2">
        <w:rPr>
          <w:sz w:val="22"/>
          <w:szCs w:val="22"/>
          <w:lang w:val="en-US"/>
        </w:rPr>
        <w:t>despesas</w:t>
      </w:r>
      <w:proofErr w:type="spellEnd"/>
      <w:r w:rsidR="0069314C" w:rsidRPr="00F239C2">
        <w:rPr>
          <w:sz w:val="22"/>
          <w:szCs w:val="22"/>
          <w:lang w:val="en-US"/>
        </w:rPr>
        <w:t xml:space="preserve"> com </w:t>
      </w:r>
      <w:proofErr w:type="spellStart"/>
      <w:r w:rsidR="0069314C" w:rsidRPr="00F239C2">
        <w:rPr>
          <w:sz w:val="22"/>
          <w:szCs w:val="22"/>
          <w:lang w:val="en-US"/>
        </w:rPr>
        <w:t>eletricidade</w:t>
      </w:r>
      <w:proofErr w:type="spellEnd"/>
      <w:r w:rsidR="0069314C" w:rsidRPr="00F239C2">
        <w:rPr>
          <w:sz w:val="22"/>
          <w:szCs w:val="22"/>
          <w:lang w:val="en-US"/>
        </w:rPr>
        <w:t xml:space="preserve">, mas </w:t>
      </w:r>
      <w:proofErr w:type="spellStart"/>
      <w:r w:rsidR="0069314C" w:rsidRPr="00F239C2">
        <w:rPr>
          <w:sz w:val="22"/>
          <w:szCs w:val="22"/>
          <w:lang w:val="en-US"/>
        </w:rPr>
        <w:t>também</w:t>
      </w:r>
      <w:proofErr w:type="spellEnd"/>
      <w:r w:rsidR="0069314C" w:rsidRPr="00F239C2">
        <w:rPr>
          <w:sz w:val="22"/>
          <w:szCs w:val="22"/>
          <w:lang w:val="en-US"/>
        </w:rPr>
        <w:t xml:space="preserve"> o </w:t>
      </w:r>
      <w:proofErr w:type="spellStart"/>
      <w:r w:rsidR="0069314C" w:rsidRPr="00F239C2">
        <w:rPr>
          <w:sz w:val="22"/>
          <w:szCs w:val="22"/>
          <w:lang w:val="en-US"/>
        </w:rPr>
        <w:t>aprimoramento</w:t>
      </w:r>
      <w:proofErr w:type="spellEnd"/>
      <w:r w:rsidR="0069314C" w:rsidRPr="00F239C2">
        <w:rPr>
          <w:sz w:val="22"/>
          <w:szCs w:val="22"/>
          <w:lang w:val="en-US"/>
        </w:rPr>
        <w:t xml:space="preserve"> do </w:t>
      </w:r>
      <w:proofErr w:type="spellStart"/>
      <w:r w:rsidR="0069314C" w:rsidRPr="00F239C2">
        <w:rPr>
          <w:sz w:val="22"/>
          <w:szCs w:val="22"/>
          <w:lang w:val="en-US"/>
        </w:rPr>
        <w:t>desempenho</w:t>
      </w:r>
      <w:proofErr w:type="spellEnd"/>
      <w:r w:rsidR="0069314C" w:rsidRPr="00F239C2">
        <w:rPr>
          <w:sz w:val="22"/>
          <w:szCs w:val="22"/>
          <w:lang w:val="en-US"/>
        </w:rPr>
        <w:t xml:space="preserve"> e da </w:t>
      </w:r>
      <w:proofErr w:type="spellStart"/>
      <w:r w:rsidR="0069314C" w:rsidRPr="00F239C2">
        <w:rPr>
          <w:sz w:val="22"/>
          <w:szCs w:val="22"/>
          <w:lang w:val="en-US"/>
        </w:rPr>
        <w:t>vida</w:t>
      </w:r>
      <w:proofErr w:type="spellEnd"/>
      <w:r w:rsidR="0069314C" w:rsidRPr="00F239C2">
        <w:rPr>
          <w:sz w:val="22"/>
          <w:szCs w:val="22"/>
          <w:lang w:val="en-US"/>
        </w:rPr>
        <w:t xml:space="preserve"> </w:t>
      </w:r>
      <w:proofErr w:type="spellStart"/>
      <w:r w:rsidR="0069314C" w:rsidRPr="00F239C2">
        <w:rPr>
          <w:sz w:val="22"/>
          <w:szCs w:val="22"/>
          <w:lang w:val="en-US"/>
        </w:rPr>
        <w:t>útil</w:t>
      </w:r>
      <w:proofErr w:type="spellEnd"/>
      <w:r w:rsidR="0069314C" w:rsidRPr="00F239C2">
        <w:rPr>
          <w:sz w:val="22"/>
          <w:szCs w:val="22"/>
          <w:lang w:val="en-US"/>
        </w:rPr>
        <w:t xml:space="preserve"> dos </w:t>
      </w:r>
      <w:proofErr w:type="spellStart"/>
      <w:r w:rsidR="0069314C" w:rsidRPr="00F239C2">
        <w:rPr>
          <w:sz w:val="22"/>
          <w:szCs w:val="22"/>
          <w:lang w:val="en-US"/>
        </w:rPr>
        <w:t>equipamentos</w:t>
      </w:r>
      <w:proofErr w:type="spellEnd"/>
      <w:r w:rsidR="0069314C" w:rsidRPr="00F239C2">
        <w:rPr>
          <w:sz w:val="22"/>
          <w:szCs w:val="22"/>
          <w:lang w:val="en-US"/>
        </w:rPr>
        <w:t xml:space="preserve">. Essa </w:t>
      </w:r>
      <w:proofErr w:type="spellStart"/>
      <w:r w:rsidR="0069314C" w:rsidRPr="00F239C2">
        <w:rPr>
          <w:sz w:val="22"/>
          <w:szCs w:val="22"/>
          <w:lang w:val="en-US"/>
        </w:rPr>
        <w:t>abordagem</w:t>
      </w:r>
      <w:proofErr w:type="spellEnd"/>
      <w:r w:rsidR="0069314C" w:rsidRPr="00F239C2">
        <w:rPr>
          <w:sz w:val="22"/>
          <w:szCs w:val="22"/>
          <w:lang w:val="en-US"/>
        </w:rPr>
        <w:t xml:space="preserve"> </w:t>
      </w:r>
      <w:proofErr w:type="spellStart"/>
      <w:r w:rsidR="0069314C" w:rsidRPr="00F239C2">
        <w:rPr>
          <w:sz w:val="22"/>
          <w:szCs w:val="22"/>
          <w:lang w:val="en-US"/>
        </w:rPr>
        <w:t>estratégica</w:t>
      </w:r>
      <w:proofErr w:type="spellEnd"/>
      <w:r w:rsidR="0069314C" w:rsidRPr="00F239C2">
        <w:rPr>
          <w:sz w:val="22"/>
          <w:szCs w:val="22"/>
          <w:lang w:val="en-US"/>
        </w:rPr>
        <w:t xml:space="preserve"> </w:t>
      </w:r>
      <w:proofErr w:type="spellStart"/>
      <w:r w:rsidR="0069314C" w:rsidRPr="00F239C2">
        <w:rPr>
          <w:sz w:val="22"/>
          <w:szCs w:val="22"/>
          <w:lang w:val="en-US"/>
        </w:rPr>
        <w:t>possui</w:t>
      </w:r>
      <w:proofErr w:type="spellEnd"/>
      <w:r w:rsidR="0069314C" w:rsidRPr="00F239C2">
        <w:rPr>
          <w:sz w:val="22"/>
          <w:szCs w:val="22"/>
          <w:lang w:val="en-US"/>
        </w:rPr>
        <w:t xml:space="preserve"> um </w:t>
      </w:r>
      <w:proofErr w:type="spellStart"/>
      <w:r w:rsidR="0069314C" w:rsidRPr="00F239C2">
        <w:rPr>
          <w:sz w:val="22"/>
          <w:szCs w:val="22"/>
          <w:lang w:val="en-US"/>
        </w:rPr>
        <w:t>impacto</w:t>
      </w:r>
      <w:proofErr w:type="spellEnd"/>
      <w:r w:rsidR="0069314C" w:rsidRPr="00F239C2">
        <w:rPr>
          <w:sz w:val="22"/>
          <w:szCs w:val="22"/>
          <w:lang w:val="en-US"/>
        </w:rPr>
        <w:t xml:space="preserve"> </w:t>
      </w:r>
      <w:proofErr w:type="spellStart"/>
      <w:r w:rsidR="0069314C" w:rsidRPr="00F239C2">
        <w:rPr>
          <w:sz w:val="22"/>
          <w:szCs w:val="22"/>
          <w:lang w:val="en-US"/>
        </w:rPr>
        <w:t>direto</w:t>
      </w:r>
      <w:proofErr w:type="spellEnd"/>
      <w:r w:rsidR="0069314C" w:rsidRPr="00F239C2">
        <w:rPr>
          <w:sz w:val="22"/>
          <w:szCs w:val="22"/>
          <w:lang w:val="en-US"/>
        </w:rPr>
        <w:t xml:space="preserve"> tanto </w:t>
      </w:r>
      <w:proofErr w:type="spellStart"/>
      <w:r w:rsidR="0069314C" w:rsidRPr="00F239C2">
        <w:rPr>
          <w:sz w:val="22"/>
          <w:szCs w:val="22"/>
          <w:lang w:val="en-US"/>
        </w:rPr>
        <w:t>na</w:t>
      </w:r>
      <w:proofErr w:type="spellEnd"/>
      <w:r w:rsidR="0069314C" w:rsidRPr="00F239C2">
        <w:rPr>
          <w:sz w:val="22"/>
          <w:szCs w:val="22"/>
          <w:lang w:val="en-US"/>
        </w:rPr>
        <w:t xml:space="preserve"> </w:t>
      </w:r>
      <w:proofErr w:type="spellStart"/>
      <w:r w:rsidR="0069314C" w:rsidRPr="00F239C2">
        <w:rPr>
          <w:sz w:val="22"/>
          <w:szCs w:val="22"/>
          <w:lang w:val="en-US"/>
        </w:rPr>
        <w:t>esfera</w:t>
      </w:r>
      <w:proofErr w:type="spellEnd"/>
      <w:r w:rsidR="0069314C" w:rsidRPr="00F239C2">
        <w:rPr>
          <w:sz w:val="22"/>
          <w:szCs w:val="22"/>
          <w:lang w:val="en-US"/>
        </w:rPr>
        <w:t xml:space="preserve"> </w:t>
      </w:r>
      <w:proofErr w:type="spellStart"/>
      <w:r w:rsidR="0069314C" w:rsidRPr="00F239C2">
        <w:rPr>
          <w:sz w:val="22"/>
          <w:szCs w:val="22"/>
          <w:lang w:val="en-US"/>
        </w:rPr>
        <w:t>financeira</w:t>
      </w:r>
      <w:proofErr w:type="spellEnd"/>
      <w:r w:rsidR="0069314C" w:rsidRPr="00F239C2">
        <w:rPr>
          <w:sz w:val="22"/>
          <w:szCs w:val="22"/>
          <w:lang w:val="en-US"/>
        </w:rPr>
        <w:t xml:space="preserve"> </w:t>
      </w:r>
      <w:proofErr w:type="spellStart"/>
      <w:r w:rsidR="0069314C" w:rsidRPr="00F239C2">
        <w:rPr>
          <w:sz w:val="22"/>
          <w:szCs w:val="22"/>
          <w:lang w:val="en-US"/>
        </w:rPr>
        <w:t>quanto</w:t>
      </w:r>
      <w:proofErr w:type="spellEnd"/>
      <w:r w:rsidR="0069314C" w:rsidRPr="00F239C2">
        <w:rPr>
          <w:sz w:val="22"/>
          <w:szCs w:val="22"/>
          <w:lang w:val="en-US"/>
        </w:rPr>
        <w:t xml:space="preserve"> </w:t>
      </w:r>
      <w:proofErr w:type="spellStart"/>
      <w:r w:rsidR="0069314C" w:rsidRPr="00F239C2">
        <w:rPr>
          <w:sz w:val="22"/>
          <w:szCs w:val="22"/>
          <w:lang w:val="en-US"/>
        </w:rPr>
        <w:t>nas</w:t>
      </w:r>
      <w:proofErr w:type="spellEnd"/>
      <w:r w:rsidR="0069314C" w:rsidRPr="00F239C2">
        <w:rPr>
          <w:sz w:val="22"/>
          <w:szCs w:val="22"/>
          <w:lang w:val="en-US"/>
        </w:rPr>
        <w:t xml:space="preserve"> </w:t>
      </w:r>
      <w:proofErr w:type="spellStart"/>
      <w:r w:rsidR="0069314C" w:rsidRPr="00F239C2">
        <w:rPr>
          <w:sz w:val="22"/>
          <w:szCs w:val="22"/>
          <w:lang w:val="en-US"/>
        </w:rPr>
        <w:t>operações</w:t>
      </w:r>
      <w:proofErr w:type="spellEnd"/>
      <w:r w:rsidR="0069314C" w:rsidRPr="00F239C2">
        <w:rPr>
          <w:sz w:val="22"/>
          <w:szCs w:val="22"/>
          <w:lang w:val="en-US"/>
        </w:rPr>
        <w:t xml:space="preserve"> dos </w:t>
      </w:r>
      <w:proofErr w:type="spellStart"/>
      <w:r w:rsidR="0069314C" w:rsidRPr="00F239C2">
        <w:rPr>
          <w:sz w:val="22"/>
          <w:szCs w:val="22"/>
          <w:lang w:val="en-US"/>
        </w:rPr>
        <w:t>estabelecimentos</w:t>
      </w:r>
      <w:proofErr w:type="spellEnd"/>
      <w:r w:rsidR="0069314C" w:rsidRPr="00F239C2">
        <w:rPr>
          <w:sz w:val="22"/>
          <w:szCs w:val="22"/>
          <w:lang w:val="en-US"/>
        </w:rPr>
        <w:t xml:space="preserve">. Com base </w:t>
      </w:r>
      <w:proofErr w:type="spellStart"/>
      <w:r w:rsidR="0069314C" w:rsidRPr="00F239C2">
        <w:rPr>
          <w:sz w:val="22"/>
          <w:szCs w:val="22"/>
          <w:lang w:val="en-US"/>
        </w:rPr>
        <w:t>nesse</w:t>
      </w:r>
      <w:proofErr w:type="spellEnd"/>
      <w:r w:rsidR="0069314C" w:rsidRPr="00F239C2">
        <w:rPr>
          <w:sz w:val="22"/>
          <w:szCs w:val="22"/>
          <w:lang w:val="en-US"/>
        </w:rPr>
        <w:t xml:space="preserve"> </w:t>
      </w:r>
      <w:proofErr w:type="spellStart"/>
      <w:r w:rsidR="0069314C" w:rsidRPr="00F239C2">
        <w:rPr>
          <w:sz w:val="22"/>
          <w:szCs w:val="22"/>
          <w:lang w:val="en-US"/>
        </w:rPr>
        <w:t>contexto</w:t>
      </w:r>
      <w:proofErr w:type="spellEnd"/>
      <w:r w:rsidR="0069314C" w:rsidRPr="00F239C2">
        <w:rPr>
          <w:sz w:val="22"/>
          <w:szCs w:val="22"/>
          <w:lang w:val="en-US"/>
        </w:rPr>
        <w:t xml:space="preserve">, o </w:t>
      </w:r>
      <w:proofErr w:type="spellStart"/>
      <w:r w:rsidR="0069314C" w:rsidRPr="00F239C2">
        <w:rPr>
          <w:sz w:val="22"/>
          <w:szCs w:val="22"/>
          <w:lang w:val="en-US"/>
        </w:rPr>
        <w:t>presente</w:t>
      </w:r>
      <w:proofErr w:type="spellEnd"/>
      <w:r w:rsidR="0069314C" w:rsidRPr="00F239C2">
        <w:rPr>
          <w:sz w:val="22"/>
          <w:szCs w:val="22"/>
          <w:lang w:val="en-US"/>
        </w:rPr>
        <w:t xml:space="preserve"> </w:t>
      </w:r>
      <w:proofErr w:type="spellStart"/>
      <w:r w:rsidR="00E747A0" w:rsidRPr="00F239C2">
        <w:rPr>
          <w:sz w:val="22"/>
          <w:szCs w:val="22"/>
          <w:lang w:val="en-US"/>
        </w:rPr>
        <w:t>estudo</w:t>
      </w:r>
      <w:proofErr w:type="spellEnd"/>
      <w:r w:rsidR="00E747A0" w:rsidRPr="00F239C2">
        <w:rPr>
          <w:sz w:val="22"/>
          <w:szCs w:val="22"/>
          <w:lang w:val="en-US"/>
        </w:rPr>
        <w:t xml:space="preserve"> </w:t>
      </w:r>
      <w:proofErr w:type="spellStart"/>
      <w:r w:rsidR="00E747A0" w:rsidRPr="00F239C2">
        <w:rPr>
          <w:sz w:val="22"/>
          <w:szCs w:val="22"/>
          <w:lang w:val="en-US"/>
        </w:rPr>
        <w:t>tem</w:t>
      </w:r>
      <w:proofErr w:type="spellEnd"/>
      <w:r w:rsidR="00E747A0" w:rsidRPr="00F239C2">
        <w:rPr>
          <w:sz w:val="22"/>
          <w:szCs w:val="22"/>
          <w:lang w:val="en-US"/>
        </w:rPr>
        <w:t xml:space="preserve"> </w:t>
      </w:r>
      <w:proofErr w:type="spellStart"/>
      <w:r w:rsidR="00E747A0" w:rsidRPr="00F239C2">
        <w:rPr>
          <w:sz w:val="22"/>
          <w:szCs w:val="22"/>
          <w:lang w:val="en-US"/>
        </w:rPr>
        <w:t>como</w:t>
      </w:r>
      <w:proofErr w:type="spellEnd"/>
      <w:r w:rsidR="00E747A0" w:rsidRPr="00F239C2">
        <w:rPr>
          <w:sz w:val="22"/>
          <w:szCs w:val="22"/>
          <w:lang w:val="en-US"/>
        </w:rPr>
        <w:t xml:space="preserve"> </w:t>
      </w:r>
      <w:proofErr w:type="spellStart"/>
      <w:r w:rsidR="00E747A0" w:rsidRPr="00F239C2">
        <w:rPr>
          <w:sz w:val="22"/>
          <w:szCs w:val="22"/>
          <w:lang w:val="en-US"/>
        </w:rPr>
        <w:t>objetivo</w:t>
      </w:r>
      <w:proofErr w:type="spellEnd"/>
      <w:r w:rsidR="00E747A0" w:rsidRPr="00F239C2">
        <w:rPr>
          <w:sz w:val="22"/>
          <w:szCs w:val="22"/>
          <w:lang w:val="en-US"/>
        </w:rPr>
        <w:t xml:space="preserve"> </w:t>
      </w:r>
      <w:proofErr w:type="spellStart"/>
      <w:r w:rsidR="00E747A0" w:rsidRPr="00F239C2">
        <w:rPr>
          <w:sz w:val="22"/>
          <w:szCs w:val="22"/>
          <w:lang w:val="en-US"/>
        </w:rPr>
        <w:t>avaliar</w:t>
      </w:r>
      <w:proofErr w:type="spellEnd"/>
      <w:r w:rsidR="00E747A0" w:rsidRPr="00F239C2">
        <w:rPr>
          <w:sz w:val="22"/>
          <w:szCs w:val="22"/>
          <w:lang w:val="en-US"/>
        </w:rPr>
        <w:t xml:space="preserve"> o </w:t>
      </w:r>
      <w:proofErr w:type="spellStart"/>
      <w:r w:rsidR="00E747A0" w:rsidRPr="00F239C2">
        <w:rPr>
          <w:sz w:val="22"/>
          <w:szCs w:val="22"/>
          <w:lang w:val="en-US"/>
        </w:rPr>
        <w:t>impacto</w:t>
      </w:r>
      <w:proofErr w:type="spellEnd"/>
      <w:r w:rsidR="00E747A0" w:rsidRPr="00F239C2">
        <w:rPr>
          <w:sz w:val="22"/>
          <w:szCs w:val="22"/>
          <w:lang w:val="en-US"/>
        </w:rPr>
        <w:t xml:space="preserve"> da </w:t>
      </w:r>
      <w:proofErr w:type="spellStart"/>
      <w:r w:rsidR="00E747A0" w:rsidRPr="00F239C2">
        <w:rPr>
          <w:sz w:val="22"/>
          <w:szCs w:val="22"/>
          <w:lang w:val="en-US"/>
        </w:rPr>
        <w:t>utilização</w:t>
      </w:r>
      <w:proofErr w:type="spellEnd"/>
      <w:r w:rsidR="00E747A0" w:rsidRPr="00F239C2">
        <w:rPr>
          <w:sz w:val="22"/>
          <w:szCs w:val="22"/>
          <w:lang w:val="en-US"/>
        </w:rPr>
        <w:t xml:space="preserve"> da </w:t>
      </w:r>
      <w:proofErr w:type="spellStart"/>
      <w:r w:rsidR="00E747A0" w:rsidRPr="00F239C2">
        <w:rPr>
          <w:sz w:val="22"/>
          <w:szCs w:val="22"/>
          <w:lang w:val="en-US"/>
        </w:rPr>
        <w:t>termoacumulação</w:t>
      </w:r>
      <w:proofErr w:type="spellEnd"/>
      <w:r w:rsidR="00E747A0" w:rsidRPr="00F239C2">
        <w:rPr>
          <w:sz w:val="22"/>
          <w:szCs w:val="22"/>
          <w:lang w:val="en-US"/>
        </w:rPr>
        <w:t xml:space="preserve"> de </w:t>
      </w:r>
      <w:proofErr w:type="spellStart"/>
      <w:r w:rsidR="00E747A0" w:rsidRPr="00F239C2">
        <w:rPr>
          <w:sz w:val="22"/>
          <w:szCs w:val="22"/>
          <w:lang w:val="en-US"/>
        </w:rPr>
        <w:t>água</w:t>
      </w:r>
      <w:proofErr w:type="spellEnd"/>
      <w:r w:rsidR="00E747A0" w:rsidRPr="00F239C2">
        <w:rPr>
          <w:sz w:val="22"/>
          <w:szCs w:val="22"/>
          <w:lang w:val="en-US"/>
        </w:rPr>
        <w:t xml:space="preserve"> gelada </w:t>
      </w:r>
      <w:proofErr w:type="spellStart"/>
      <w:r w:rsidR="00E747A0" w:rsidRPr="00F239C2">
        <w:rPr>
          <w:sz w:val="22"/>
          <w:szCs w:val="22"/>
          <w:lang w:val="en-US"/>
        </w:rPr>
        <w:t>na</w:t>
      </w:r>
      <w:proofErr w:type="spellEnd"/>
      <w:r w:rsidR="00E747A0" w:rsidRPr="00F239C2">
        <w:rPr>
          <w:sz w:val="22"/>
          <w:szCs w:val="22"/>
          <w:lang w:val="en-US"/>
        </w:rPr>
        <w:t xml:space="preserve"> </w:t>
      </w:r>
      <w:proofErr w:type="spellStart"/>
      <w:r w:rsidR="00E747A0" w:rsidRPr="00F239C2">
        <w:rPr>
          <w:sz w:val="22"/>
          <w:szCs w:val="22"/>
          <w:lang w:val="en-US"/>
        </w:rPr>
        <w:t>redução</w:t>
      </w:r>
      <w:proofErr w:type="spellEnd"/>
      <w:r w:rsidR="00E747A0" w:rsidRPr="00F239C2">
        <w:rPr>
          <w:sz w:val="22"/>
          <w:szCs w:val="22"/>
          <w:lang w:val="en-US"/>
        </w:rPr>
        <w:t xml:space="preserve"> da </w:t>
      </w:r>
      <w:proofErr w:type="spellStart"/>
      <w:r w:rsidR="00E747A0" w:rsidRPr="00F239C2">
        <w:rPr>
          <w:sz w:val="22"/>
          <w:szCs w:val="22"/>
          <w:lang w:val="en-US"/>
        </w:rPr>
        <w:t>demanda</w:t>
      </w:r>
      <w:proofErr w:type="spellEnd"/>
      <w:r w:rsidR="00E747A0" w:rsidRPr="00F239C2">
        <w:rPr>
          <w:sz w:val="22"/>
          <w:szCs w:val="22"/>
          <w:lang w:val="en-US"/>
        </w:rPr>
        <w:t xml:space="preserve"> </w:t>
      </w:r>
      <w:proofErr w:type="spellStart"/>
      <w:r w:rsidR="00E747A0" w:rsidRPr="00F239C2">
        <w:rPr>
          <w:sz w:val="22"/>
          <w:szCs w:val="22"/>
          <w:lang w:val="en-US"/>
        </w:rPr>
        <w:t>elétrica</w:t>
      </w:r>
      <w:proofErr w:type="spellEnd"/>
      <w:r w:rsidR="00E747A0" w:rsidRPr="00F239C2">
        <w:rPr>
          <w:sz w:val="22"/>
          <w:szCs w:val="22"/>
          <w:lang w:val="en-US"/>
        </w:rPr>
        <w:t xml:space="preserve"> </w:t>
      </w:r>
      <w:proofErr w:type="spellStart"/>
      <w:r w:rsidR="00E747A0" w:rsidRPr="00F239C2">
        <w:rPr>
          <w:sz w:val="22"/>
          <w:szCs w:val="22"/>
          <w:lang w:val="en-US"/>
        </w:rPr>
        <w:t>durante</w:t>
      </w:r>
      <w:proofErr w:type="spellEnd"/>
      <w:r w:rsidR="00E747A0" w:rsidRPr="00F239C2">
        <w:rPr>
          <w:sz w:val="22"/>
          <w:szCs w:val="22"/>
          <w:lang w:val="en-US"/>
        </w:rPr>
        <w:t xml:space="preserve"> </w:t>
      </w:r>
      <w:proofErr w:type="spellStart"/>
      <w:r w:rsidR="00E747A0" w:rsidRPr="00F239C2">
        <w:rPr>
          <w:sz w:val="22"/>
          <w:szCs w:val="22"/>
          <w:lang w:val="en-US"/>
        </w:rPr>
        <w:t>os</w:t>
      </w:r>
      <w:proofErr w:type="spellEnd"/>
      <w:r w:rsidR="00E747A0" w:rsidRPr="00F239C2">
        <w:rPr>
          <w:sz w:val="22"/>
          <w:szCs w:val="22"/>
          <w:lang w:val="en-US"/>
        </w:rPr>
        <w:t xml:space="preserve"> </w:t>
      </w:r>
      <w:proofErr w:type="spellStart"/>
      <w:r w:rsidR="00E747A0" w:rsidRPr="00F239C2">
        <w:rPr>
          <w:sz w:val="22"/>
          <w:szCs w:val="22"/>
          <w:lang w:val="en-US"/>
        </w:rPr>
        <w:t>horários</w:t>
      </w:r>
      <w:proofErr w:type="spellEnd"/>
      <w:r w:rsidR="00E747A0" w:rsidRPr="00F239C2">
        <w:rPr>
          <w:sz w:val="22"/>
          <w:szCs w:val="22"/>
          <w:lang w:val="en-US"/>
        </w:rPr>
        <w:t xml:space="preserve"> de </w:t>
      </w:r>
      <w:proofErr w:type="spellStart"/>
      <w:r w:rsidR="00D64990">
        <w:rPr>
          <w:sz w:val="22"/>
          <w:szCs w:val="22"/>
          <w:lang w:val="en-US"/>
        </w:rPr>
        <w:t>ponta</w:t>
      </w:r>
      <w:proofErr w:type="spellEnd"/>
      <w:r w:rsidR="00E747A0" w:rsidRPr="00F239C2">
        <w:rPr>
          <w:sz w:val="22"/>
          <w:szCs w:val="22"/>
          <w:lang w:val="en-US"/>
        </w:rPr>
        <w:t xml:space="preserve"> </w:t>
      </w:r>
      <w:proofErr w:type="spellStart"/>
      <w:r w:rsidR="00E747A0" w:rsidRPr="00F239C2">
        <w:rPr>
          <w:sz w:val="22"/>
          <w:szCs w:val="22"/>
          <w:lang w:val="en-US"/>
        </w:rPr>
        <w:t>em</w:t>
      </w:r>
      <w:proofErr w:type="spellEnd"/>
      <w:r w:rsidR="00E747A0" w:rsidRPr="00F239C2">
        <w:rPr>
          <w:sz w:val="22"/>
          <w:szCs w:val="22"/>
          <w:lang w:val="en-US"/>
        </w:rPr>
        <w:t xml:space="preserve"> um </w:t>
      </w:r>
      <w:proofErr w:type="spellStart"/>
      <w:r w:rsidR="00E747A0" w:rsidRPr="00F239C2">
        <w:rPr>
          <w:sz w:val="22"/>
          <w:szCs w:val="22"/>
          <w:lang w:val="en-US"/>
        </w:rPr>
        <w:t>empreendimento</w:t>
      </w:r>
      <w:proofErr w:type="spellEnd"/>
      <w:r w:rsidR="00E747A0" w:rsidRPr="00F239C2">
        <w:rPr>
          <w:sz w:val="22"/>
          <w:szCs w:val="22"/>
          <w:lang w:val="en-US"/>
        </w:rPr>
        <w:t xml:space="preserve"> </w:t>
      </w:r>
      <w:proofErr w:type="spellStart"/>
      <w:r w:rsidR="00E747A0" w:rsidRPr="00F239C2">
        <w:rPr>
          <w:sz w:val="22"/>
          <w:szCs w:val="22"/>
          <w:lang w:val="en-US"/>
        </w:rPr>
        <w:t>comercial</w:t>
      </w:r>
      <w:proofErr w:type="spellEnd"/>
      <w:r w:rsidR="00E747A0" w:rsidRPr="00F239C2">
        <w:rPr>
          <w:sz w:val="22"/>
          <w:szCs w:val="22"/>
          <w:lang w:val="en-US"/>
        </w:rPr>
        <w:t xml:space="preserve">. </w:t>
      </w:r>
      <w:proofErr w:type="spellStart"/>
      <w:r w:rsidR="00E747A0" w:rsidRPr="00F239C2">
        <w:rPr>
          <w:sz w:val="22"/>
          <w:szCs w:val="22"/>
          <w:lang w:val="en-US"/>
        </w:rPr>
        <w:t>Além</w:t>
      </w:r>
      <w:proofErr w:type="spellEnd"/>
      <w:r w:rsidR="00E747A0" w:rsidRPr="00F239C2">
        <w:rPr>
          <w:sz w:val="22"/>
          <w:szCs w:val="22"/>
          <w:lang w:val="en-US"/>
        </w:rPr>
        <w:t xml:space="preserve"> </w:t>
      </w:r>
      <w:proofErr w:type="spellStart"/>
      <w:r w:rsidR="00E747A0" w:rsidRPr="00F239C2">
        <w:rPr>
          <w:sz w:val="22"/>
          <w:szCs w:val="22"/>
          <w:lang w:val="en-US"/>
        </w:rPr>
        <w:t>disso</w:t>
      </w:r>
      <w:proofErr w:type="spellEnd"/>
      <w:r w:rsidR="00E747A0" w:rsidRPr="00F239C2">
        <w:rPr>
          <w:sz w:val="22"/>
          <w:szCs w:val="22"/>
          <w:lang w:val="en-US"/>
        </w:rPr>
        <w:t xml:space="preserve">, </w:t>
      </w:r>
      <w:proofErr w:type="spellStart"/>
      <w:r w:rsidR="00E747A0" w:rsidRPr="00F239C2">
        <w:rPr>
          <w:sz w:val="22"/>
          <w:szCs w:val="22"/>
          <w:lang w:val="en-US"/>
        </w:rPr>
        <w:t>busca</w:t>
      </w:r>
      <w:proofErr w:type="spellEnd"/>
      <w:r w:rsidR="00E747A0" w:rsidRPr="00F239C2">
        <w:rPr>
          <w:sz w:val="22"/>
          <w:szCs w:val="22"/>
          <w:lang w:val="en-US"/>
        </w:rPr>
        <w:t xml:space="preserve">-se </w:t>
      </w:r>
      <w:proofErr w:type="spellStart"/>
      <w:r w:rsidR="00E747A0" w:rsidRPr="00F239C2">
        <w:rPr>
          <w:sz w:val="22"/>
          <w:szCs w:val="22"/>
          <w:lang w:val="en-US"/>
        </w:rPr>
        <w:t>analisar</w:t>
      </w:r>
      <w:proofErr w:type="spellEnd"/>
      <w:r w:rsidR="00E747A0" w:rsidRPr="00F239C2">
        <w:rPr>
          <w:sz w:val="22"/>
          <w:szCs w:val="22"/>
          <w:lang w:val="en-US"/>
        </w:rPr>
        <w:t xml:space="preserve"> </w:t>
      </w:r>
      <w:proofErr w:type="spellStart"/>
      <w:r w:rsidR="00E747A0" w:rsidRPr="00F239C2">
        <w:rPr>
          <w:sz w:val="22"/>
          <w:szCs w:val="22"/>
          <w:lang w:val="en-US"/>
        </w:rPr>
        <w:t>os</w:t>
      </w:r>
      <w:proofErr w:type="spellEnd"/>
      <w:r w:rsidR="00E747A0" w:rsidRPr="00F239C2">
        <w:rPr>
          <w:sz w:val="22"/>
          <w:szCs w:val="22"/>
          <w:lang w:val="en-US"/>
        </w:rPr>
        <w:t xml:space="preserve"> </w:t>
      </w:r>
      <w:proofErr w:type="spellStart"/>
      <w:r w:rsidR="00E747A0" w:rsidRPr="00F239C2">
        <w:rPr>
          <w:sz w:val="22"/>
          <w:szCs w:val="22"/>
          <w:lang w:val="en-US"/>
        </w:rPr>
        <w:t>efeitos</w:t>
      </w:r>
      <w:proofErr w:type="spellEnd"/>
      <w:r w:rsidR="00E747A0" w:rsidRPr="00F239C2">
        <w:rPr>
          <w:sz w:val="22"/>
          <w:szCs w:val="22"/>
          <w:lang w:val="en-US"/>
        </w:rPr>
        <w:t xml:space="preserve"> </w:t>
      </w:r>
      <w:proofErr w:type="spellStart"/>
      <w:r w:rsidR="00E747A0" w:rsidRPr="00F239C2">
        <w:rPr>
          <w:sz w:val="22"/>
          <w:szCs w:val="22"/>
          <w:lang w:val="en-US"/>
        </w:rPr>
        <w:t>econômicos</w:t>
      </w:r>
      <w:proofErr w:type="spellEnd"/>
      <w:r w:rsidR="00E747A0" w:rsidRPr="00F239C2">
        <w:rPr>
          <w:sz w:val="22"/>
          <w:szCs w:val="22"/>
          <w:lang w:val="en-US"/>
        </w:rPr>
        <w:t xml:space="preserve"> </w:t>
      </w:r>
      <w:proofErr w:type="spellStart"/>
      <w:r w:rsidR="00E747A0" w:rsidRPr="00F239C2">
        <w:rPr>
          <w:sz w:val="22"/>
          <w:szCs w:val="22"/>
          <w:lang w:val="en-US"/>
        </w:rPr>
        <w:t>decorrentes</w:t>
      </w:r>
      <w:proofErr w:type="spellEnd"/>
      <w:r w:rsidR="00E747A0" w:rsidRPr="00F239C2">
        <w:rPr>
          <w:sz w:val="22"/>
          <w:szCs w:val="22"/>
          <w:lang w:val="en-US"/>
        </w:rPr>
        <w:t xml:space="preserve"> dessa </w:t>
      </w:r>
      <w:proofErr w:type="spellStart"/>
      <w:r w:rsidR="00E747A0" w:rsidRPr="00F239C2">
        <w:rPr>
          <w:sz w:val="22"/>
          <w:szCs w:val="22"/>
          <w:lang w:val="en-US"/>
        </w:rPr>
        <w:t>prática</w:t>
      </w:r>
      <w:proofErr w:type="spellEnd"/>
      <w:r w:rsidR="00E747A0" w:rsidRPr="00F239C2">
        <w:rPr>
          <w:sz w:val="22"/>
          <w:szCs w:val="22"/>
          <w:lang w:val="en-US"/>
        </w:rPr>
        <w:t xml:space="preserve"> </w:t>
      </w:r>
      <w:proofErr w:type="spellStart"/>
      <w:r w:rsidR="00E747A0" w:rsidRPr="00F239C2">
        <w:rPr>
          <w:sz w:val="22"/>
          <w:szCs w:val="22"/>
          <w:lang w:val="en-US"/>
        </w:rPr>
        <w:t>na</w:t>
      </w:r>
      <w:proofErr w:type="spellEnd"/>
      <w:r w:rsidR="00E747A0" w:rsidRPr="00F239C2">
        <w:rPr>
          <w:sz w:val="22"/>
          <w:szCs w:val="22"/>
          <w:lang w:val="en-US"/>
        </w:rPr>
        <w:t xml:space="preserve"> </w:t>
      </w:r>
      <w:proofErr w:type="spellStart"/>
      <w:r w:rsidR="00E747A0" w:rsidRPr="00F239C2">
        <w:rPr>
          <w:sz w:val="22"/>
          <w:szCs w:val="22"/>
          <w:lang w:val="en-US"/>
        </w:rPr>
        <w:t>conta</w:t>
      </w:r>
      <w:proofErr w:type="spellEnd"/>
      <w:r w:rsidR="00E747A0" w:rsidRPr="00F239C2">
        <w:rPr>
          <w:sz w:val="22"/>
          <w:szCs w:val="22"/>
          <w:lang w:val="en-US"/>
        </w:rPr>
        <w:t xml:space="preserve"> de </w:t>
      </w:r>
      <w:proofErr w:type="spellStart"/>
      <w:r w:rsidR="00E747A0" w:rsidRPr="00F239C2">
        <w:rPr>
          <w:sz w:val="22"/>
          <w:szCs w:val="22"/>
          <w:lang w:val="en-US"/>
        </w:rPr>
        <w:t>energia</w:t>
      </w:r>
      <w:proofErr w:type="spellEnd"/>
      <w:r w:rsidR="0069314C" w:rsidRPr="00F239C2">
        <w:rPr>
          <w:sz w:val="22"/>
          <w:szCs w:val="22"/>
          <w:lang w:val="en-US"/>
        </w:rPr>
        <w:t xml:space="preserve">. Para </w:t>
      </w:r>
      <w:proofErr w:type="spellStart"/>
      <w:r w:rsidR="0069314C" w:rsidRPr="00F239C2">
        <w:rPr>
          <w:sz w:val="22"/>
          <w:szCs w:val="22"/>
          <w:lang w:val="en-US"/>
        </w:rPr>
        <w:t>isso</w:t>
      </w:r>
      <w:proofErr w:type="spellEnd"/>
      <w:r w:rsidR="0069314C" w:rsidRPr="00F239C2">
        <w:rPr>
          <w:sz w:val="22"/>
          <w:szCs w:val="22"/>
          <w:lang w:val="en-US"/>
        </w:rPr>
        <w:t xml:space="preserve">, </w:t>
      </w:r>
      <w:proofErr w:type="spellStart"/>
      <w:r w:rsidR="0069314C" w:rsidRPr="00F239C2">
        <w:rPr>
          <w:sz w:val="22"/>
          <w:szCs w:val="22"/>
          <w:lang w:val="en-US"/>
        </w:rPr>
        <w:t>foram</w:t>
      </w:r>
      <w:proofErr w:type="spellEnd"/>
      <w:r w:rsidR="0069314C" w:rsidRPr="00F239C2">
        <w:rPr>
          <w:sz w:val="22"/>
          <w:szCs w:val="22"/>
          <w:lang w:val="en-US"/>
        </w:rPr>
        <w:t xml:space="preserve"> </w:t>
      </w:r>
      <w:proofErr w:type="spellStart"/>
      <w:r w:rsidR="0069314C" w:rsidRPr="00F239C2">
        <w:rPr>
          <w:sz w:val="22"/>
          <w:szCs w:val="22"/>
          <w:lang w:val="en-US"/>
        </w:rPr>
        <w:t>identificados</w:t>
      </w:r>
      <w:proofErr w:type="spellEnd"/>
      <w:r w:rsidR="0069314C" w:rsidRPr="00F239C2">
        <w:rPr>
          <w:sz w:val="22"/>
          <w:szCs w:val="22"/>
          <w:lang w:val="en-US"/>
        </w:rPr>
        <w:t xml:space="preserve"> </w:t>
      </w:r>
      <w:proofErr w:type="spellStart"/>
      <w:r w:rsidR="0069314C" w:rsidRPr="00F239C2">
        <w:rPr>
          <w:sz w:val="22"/>
          <w:szCs w:val="22"/>
          <w:lang w:val="en-US"/>
        </w:rPr>
        <w:t>parâmetros</w:t>
      </w:r>
      <w:proofErr w:type="spellEnd"/>
      <w:r w:rsidR="0069314C" w:rsidRPr="00F239C2">
        <w:rPr>
          <w:sz w:val="22"/>
          <w:szCs w:val="22"/>
          <w:lang w:val="en-US"/>
        </w:rPr>
        <w:t xml:space="preserve"> </w:t>
      </w:r>
      <w:proofErr w:type="spellStart"/>
      <w:r w:rsidR="0069314C" w:rsidRPr="00F239C2">
        <w:rPr>
          <w:sz w:val="22"/>
          <w:szCs w:val="22"/>
          <w:lang w:val="en-US"/>
        </w:rPr>
        <w:t>na</w:t>
      </w:r>
      <w:proofErr w:type="spellEnd"/>
      <w:r w:rsidR="0069314C" w:rsidRPr="00F239C2">
        <w:rPr>
          <w:sz w:val="22"/>
          <w:szCs w:val="22"/>
          <w:lang w:val="en-US"/>
        </w:rPr>
        <w:t xml:space="preserve"> </w:t>
      </w:r>
      <w:proofErr w:type="spellStart"/>
      <w:r w:rsidR="0069314C" w:rsidRPr="00F239C2">
        <w:rPr>
          <w:sz w:val="22"/>
          <w:szCs w:val="22"/>
          <w:lang w:val="en-US"/>
        </w:rPr>
        <w:t>curva</w:t>
      </w:r>
      <w:proofErr w:type="spellEnd"/>
      <w:r w:rsidR="0069314C" w:rsidRPr="00F239C2">
        <w:rPr>
          <w:sz w:val="22"/>
          <w:szCs w:val="22"/>
          <w:lang w:val="en-US"/>
        </w:rPr>
        <w:t xml:space="preserve"> de carga do </w:t>
      </w:r>
      <w:proofErr w:type="spellStart"/>
      <w:r w:rsidR="0069314C" w:rsidRPr="00F239C2">
        <w:rPr>
          <w:sz w:val="22"/>
          <w:szCs w:val="22"/>
          <w:lang w:val="en-US"/>
        </w:rPr>
        <w:t>estabelecimento</w:t>
      </w:r>
      <w:proofErr w:type="spellEnd"/>
      <w:r w:rsidR="0069314C" w:rsidRPr="00F239C2">
        <w:rPr>
          <w:sz w:val="22"/>
          <w:szCs w:val="22"/>
          <w:lang w:val="en-US"/>
        </w:rPr>
        <w:t xml:space="preserve"> que </w:t>
      </w:r>
      <w:proofErr w:type="spellStart"/>
      <w:r w:rsidR="0069314C" w:rsidRPr="00F239C2">
        <w:rPr>
          <w:sz w:val="22"/>
          <w:szCs w:val="22"/>
          <w:lang w:val="en-US"/>
        </w:rPr>
        <w:t>possibilitaram</w:t>
      </w:r>
      <w:proofErr w:type="spellEnd"/>
      <w:r w:rsidR="0069314C" w:rsidRPr="00F239C2">
        <w:rPr>
          <w:sz w:val="22"/>
          <w:szCs w:val="22"/>
          <w:lang w:val="en-US"/>
        </w:rPr>
        <w:t xml:space="preserve"> a </w:t>
      </w:r>
      <w:proofErr w:type="spellStart"/>
      <w:r w:rsidR="0069314C" w:rsidRPr="00F239C2">
        <w:rPr>
          <w:sz w:val="22"/>
          <w:szCs w:val="22"/>
          <w:lang w:val="en-US"/>
        </w:rPr>
        <w:t>redução</w:t>
      </w:r>
      <w:proofErr w:type="spellEnd"/>
      <w:r w:rsidR="0069314C" w:rsidRPr="00F239C2">
        <w:rPr>
          <w:sz w:val="22"/>
          <w:szCs w:val="22"/>
          <w:lang w:val="en-US"/>
        </w:rPr>
        <w:t xml:space="preserve"> do valor </w:t>
      </w:r>
      <w:proofErr w:type="spellStart"/>
      <w:r w:rsidR="0069314C" w:rsidRPr="00F239C2">
        <w:rPr>
          <w:sz w:val="22"/>
          <w:szCs w:val="22"/>
          <w:lang w:val="en-US"/>
        </w:rPr>
        <w:t>pago</w:t>
      </w:r>
      <w:proofErr w:type="spellEnd"/>
      <w:r w:rsidR="0069314C" w:rsidRPr="00F239C2">
        <w:rPr>
          <w:sz w:val="22"/>
          <w:szCs w:val="22"/>
          <w:lang w:val="en-US"/>
        </w:rPr>
        <w:t xml:space="preserve"> pela </w:t>
      </w:r>
      <w:proofErr w:type="spellStart"/>
      <w:r w:rsidR="0069314C" w:rsidRPr="00F239C2">
        <w:rPr>
          <w:sz w:val="22"/>
          <w:szCs w:val="22"/>
          <w:lang w:val="en-US"/>
        </w:rPr>
        <w:t>energia</w:t>
      </w:r>
      <w:proofErr w:type="spellEnd"/>
      <w:r w:rsidR="0069314C" w:rsidRPr="00F239C2">
        <w:rPr>
          <w:sz w:val="22"/>
          <w:szCs w:val="22"/>
          <w:lang w:val="en-US"/>
        </w:rPr>
        <w:t xml:space="preserve"> </w:t>
      </w:r>
      <w:proofErr w:type="spellStart"/>
      <w:r w:rsidR="0069314C" w:rsidRPr="00F239C2">
        <w:rPr>
          <w:sz w:val="22"/>
          <w:szCs w:val="22"/>
          <w:lang w:val="en-US"/>
        </w:rPr>
        <w:t>elétrica</w:t>
      </w:r>
      <w:proofErr w:type="spellEnd"/>
      <w:r w:rsidR="0069314C" w:rsidRPr="00F239C2">
        <w:rPr>
          <w:sz w:val="22"/>
          <w:szCs w:val="22"/>
          <w:lang w:val="en-US"/>
        </w:rPr>
        <w:t xml:space="preserve">, </w:t>
      </w:r>
      <w:proofErr w:type="spellStart"/>
      <w:r w:rsidR="0069314C" w:rsidRPr="00F239C2">
        <w:rPr>
          <w:sz w:val="22"/>
          <w:szCs w:val="22"/>
          <w:lang w:val="en-US"/>
        </w:rPr>
        <w:t>por</w:t>
      </w:r>
      <w:proofErr w:type="spellEnd"/>
      <w:r w:rsidR="0069314C" w:rsidRPr="00F239C2">
        <w:rPr>
          <w:sz w:val="22"/>
          <w:szCs w:val="22"/>
          <w:lang w:val="en-US"/>
        </w:rPr>
        <w:t xml:space="preserve"> </w:t>
      </w:r>
      <w:proofErr w:type="spellStart"/>
      <w:r w:rsidR="0069314C" w:rsidRPr="00F239C2">
        <w:rPr>
          <w:sz w:val="22"/>
          <w:szCs w:val="22"/>
          <w:lang w:val="en-US"/>
        </w:rPr>
        <w:t>meio</w:t>
      </w:r>
      <w:proofErr w:type="spellEnd"/>
      <w:r w:rsidR="0069314C" w:rsidRPr="00F239C2">
        <w:rPr>
          <w:sz w:val="22"/>
          <w:szCs w:val="22"/>
          <w:lang w:val="en-US"/>
        </w:rPr>
        <w:t xml:space="preserve"> da </w:t>
      </w:r>
      <w:proofErr w:type="spellStart"/>
      <w:r w:rsidR="0069314C" w:rsidRPr="00F239C2">
        <w:rPr>
          <w:sz w:val="22"/>
          <w:szCs w:val="22"/>
          <w:lang w:val="en-US"/>
        </w:rPr>
        <w:t>utilização</w:t>
      </w:r>
      <w:proofErr w:type="spellEnd"/>
      <w:r w:rsidR="0069314C" w:rsidRPr="00F239C2">
        <w:rPr>
          <w:sz w:val="22"/>
          <w:szCs w:val="22"/>
          <w:lang w:val="en-US"/>
        </w:rPr>
        <w:t xml:space="preserve"> dos </w:t>
      </w:r>
      <w:proofErr w:type="spellStart"/>
      <w:r w:rsidR="0069314C" w:rsidRPr="00F239C2">
        <w:rPr>
          <w:sz w:val="22"/>
          <w:szCs w:val="22"/>
          <w:lang w:val="en-US"/>
        </w:rPr>
        <w:t>tanques</w:t>
      </w:r>
      <w:proofErr w:type="spellEnd"/>
      <w:r w:rsidR="0069314C" w:rsidRPr="00F239C2">
        <w:rPr>
          <w:sz w:val="22"/>
          <w:szCs w:val="22"/>
          <w:lang w:val="en-US"/>
        </w:rPr>
        <w:t xml:space="preserve"> de </w:t>
      </w:r>
      <w:proofErr w:type="spellStart"/>
      <w:r w:rsidR="0069314C" w:rsidRPr="00F239C2">
        <w:rPr>
          <w:sz w:val="22"/>
          <w:szCs w:val="22"/>
          <w:lang w:val="en-US"/>
        </w:rPr>
        <w:t>água</w:t>
      </w:r>
      <w:proofErr w:type="spellEnd"/>
      <w:r w:rsidR="0069314C" w:rsidRPr="00F239C2">
        <w:rPr>
          <w:sz w:val="22"/>
          <w:szCs w:val="22"/>
          <w:lang w:val="en-US"/>
        </w:rPr>
        <w:t xml:space="preserve"> gelada </w:t>
      </w:r>
      <w:proofErr w:type="spellStart"/>
      <w:r w:rsidR="0069314C" w:rsidRPr="00F239C2">
        <w:rPr>
          <w:sz w:val="22"/>
          <w:szCs w:val="22"/>
          <w:lang w:val="en-US"/>
        </w:rPr>
        <w:t>já</w:t>
      </w:r>
      <w:proofErr w:type="spellEnd"/>
      <w:r w:rsidR="0069314C" w:rsidRPr="00F239C2">
        <w:rPr>
          <w:sz w:val="22"/>
          <w:szCs w:val="22"/>
          <w:lang w:val="en-US"/>
        </w:rPr>
        <w:t xml:space="preserve"> </w:t>
      </w:r>
      <w:proofErr w:type="spellStart"/>
      <w:r w:rsidR="0069314C" w:rsidRPr="00F239C2">
        <w:rPr>
          <w:sz w:val="22"/>
          <w:szCs w:val="22"/>
          <w:lang w:val="en-US"/>
        </w:rPr>
        <w:t>disponíveis</w:t>
      </w:r>
      <w:proofErr w:type="spellEnd"/>
      <w:r w:rsidR="0069314C" w:rsidRPr="00F239C2">
        <w:rPr>
          <w:sz w:val="22"/>
          <w:szCs w:val="22"/>
          <w:lang w:val="en-US"/>
        </w:rPr>
        <w:t xml:space="preserve">, </w:t>
      </w:r>
      <w:proofErr w:type="spellStart"/>
      <w:r w:rsidR="0069314C" w:rsidRPr="00F239C2">
        <w:rPr>
          <w:sz w:val="22"/>
          <w:szCs w:val="22"/>
          <w:lang w:val="en-US"/>
        </w:rPr>
        <w:t>sem</w:t>
      </w:r>
      <w:proofErr w:type="spellEnd"/>
      <w:r w:rsidR="0069314C" w:rsidRPr="00F239C2">
        <w:rPr>
          <w:sz w:val="22"/>
          <w:szCs w:val="22"/>
          <w:lang w:val="en-US"/>
        </w:rPr>
        <w:t xml:space="preserve"> a </w:t>
      </w:r>
      <w:proofErr w:type="spellStart"/>
      <w:r w:rsidR="0069314C" w:rsidRPr="00F239C2">
        <w:rPr>
          <w:sz w:val="22"/>
          <w:szCs w:val="22"/>
          <w:lang w:val="en-US"/>
        </w:rPr>
        <w:t>necessidade</w:t>
      </w:r>
      <w:proofErr w:type="spellEnd"/>
      <w:r w:rsidR="0069314C" w:rsidRPr="00F239C2">
        <w:rPr>
          <w:sz w:val="22"/>
          <w:szCs w:val="22"/>
          <w:lang w:val="en-US"/>
        </w:rPr>
        <w:t xml:space="preserve"> de </w:t>
      </w:r>
      <w:proofErr w:type="spellStart"/>
      <w:r w:rsidR="00D64990">
        <w:rPr>
          <w:sz w:val="22"/>
          <w:szCs w:val="22"/>
          <w:lang w:val="en-US"/>
        </w:rPr>
        <w:t>qualquer</w:t>
      </w:r>
      <w:proofErr w:type="spellEnd"/>
      <w:r w:rsidR="00D64990">
        <w:rPr>
          <w:sz w:val="22"/>
          <w:szCs w:val="22"/>
          <w:lang w:val="en-US"/>
        </w:rPr>
        <w:t xml:space="preserve"> </w:t>
      </w:r>
      <w:proofErr w:type="spellStart"/>
      <w:r w:rsidR="0069314C" w:rsidRPr="00F239C2">
        <w:rPr>
          <w:sz w:val="22"/>
          <w:szCs w:val="22"/>
          <w:lang w:val="en-US"/>
        </w:rPr>
        <w:t>investimento</w:t>
      </w:r>
      <w:proofErr w:type="spellEnd"/>
      <w:r w:rsidR="0069314C" w:rsidRPr="00F239C2">
        <w:rPr>
          <w:sz w:val="22"/>
          <w:szCs w:val="22"/>
          <w:lang w:val="en-US"/>
        </w:rPr>
        <w:t xml:space="preserve"> </w:t>
      </w:r>
      <w:proofErr w:type="spellStart"/>
      <w:r w:rsidR="0069314C" w:rsidRPr="00F239C2">
        <w:rPr>
          <w:sz w:val="22"/>
          <w:szCs w:val="22"/>
          <w:lang w:val="en-US"/>
        </w:rPr>
        <w:t>inicial</w:t>
      </w:r>
      <w:proofErr w:type="spellEnd"/>
      <w:r w:rsidR="0069314C" w:rsidRPr="00F239C2">
        <w:rPr>
          <w:sz w:val="22"/>
          <w:szCs w:val="22"/>
          <w:lang w:val="en-US"/>
        </w:rPr>
        <w:t>.</w:t>
      </w:r>
    </w:p>
    <w:p w14:paraId="33F12AD7" w14:textId="167406EB" w:rsidR="005330E9" w:rsidRPr="00446D3A" w:rsidRDefault="00E74C1E" w:rsidP="006A044B">
      <w:pPr>
        <w:jc w:val="both"/>
        <w:rPr>
          <w:sz w:val="22"/>
          <w:szCs w:val="22"/>
        </w:rPr>
      </w:pPr>
      <w:r w:rsidRPr="00446D3A">
        <w:rPr>
          <w:b/>
          <w:sz w:val="22"/>
          <w:szCs w:val="22"/>
        </w:rPr>
        <w:t>PALAVRAS-CHAVE:</w:t>
      </w:r>
      <w:r w:rsidRPr="00446D3A">
        <w:rPr>
          <w:sz w:val="22"/>
          <w:szCs w:val="22"/>
        </w:rPr>
        <w:t xml:space="preserve"> </w:t>
      </w:r>
      <w:r w:rsidR="00376193">
        <w:rPr>
          <w:sz w:val="22"/>
          <w:szCs w:val="22"/>
        </w:rPr>
        <w:t xml:space="preserve">Eficiência Energética, </w:t>
      </w:r>
      <w:r w:rsidR="00FA5944">
        <w:rPr>
          <w:sz w:val="22"/>
          <w:szCs w:val="22"/>
        </w:rPr>
        <w:t>Arrefecimento</w:t>
      </w:r>
      <w:r w:rsidR="00376193">
        <w:rPr>
          <w:sz w:val="22"/>
          <w:szCs w:val="22"/>
        </w:rPr>
        <w:t xml:space="preserve">, Curva de </w:t>
      </w:r>
      <w:r w:rsidR="00376193" w:rsidRPr="00B064C5">
        <w:rPr>
          <w:sz w:val="22"/>
          <w:szCs w:val="22"/>
        </w:rPr>
        <w:t>Carga</w:t>
      </w:r>
      <w:r w:rsidR="006A044B" w:rsidRPr="00B064C5">
        <w:rPr>
          <w:sz w:val="22"/>
          <w:szCs w:val="22"/>
        </w:rPr>
        <w:t xml:space="preserve">, </w:t>
      </w:r>
      <w:proofErr w:type="spellStart"/>
      <w:r w:rsidR="00376193" w:rsidRPr="00B064C5">
        <w:rPr>
          <w:sz w:val="22"/>
          <w:szCs w:val="22"/>
        </w:rPr>
        <w:t>Chiller</w:t>
      </w:r>
      <w:proofErr w:type="spellEnd"/>
      <w:r w:rsidR="00376193" w:rsidRPr="00B064C5">
        <w:rPr>
          <w:sz w:val="22"/>
          <w:szCs w:val="22"/>
        </w:rPr>
        <w:t>, Fan-</w:t>
      </w:r>
      <w:proofErr w:type="spellStart"/>
      <w:r w:rsidR="00376193" w:rsidRPr="00B064C5">
        <w:rPr>
          <w:sz w:val="22"/>
          <w:szCs w:val="22"/>
        </w:rPr>
        <w:t>coil</w:t>
      </w:r>
      <w:proofErr w:type="spellEnd"/>
      <w:r w:rsidR="00376193" w:rsidRPr="00B064C5">
        <w:rPr>
          <w:sz w:val="22"/>
          <w:szCs w:val="22"/>
        </w:rPr>
        <w:t>.</w:t>
      </w:r>
    </w:p>
    <w:p w14:paraId="460558AA" w14:textId="77777777" w:rsidR="00E74C1E" w:rsidRPr="00446D3A" w:rsidRDefault="00E74C1E" w:rsidP="00380272">
      <w:pPr>
        <w:jc w:val="center"/>
        <w:rPr>
          <w:szCs w:val="22"/>
        </w:rPr>
      </w:pPr>
    </w:p>
    <w:p w14:paraId="56275470" w14:textId="77777777" w:rsidR="00E1042F" w:rsidRDefault="00BA75DE" w:rsidP="00BA75DE">
      <w:pPr>
        <w:adjustRightInd w:val="0"/>
        <w:jc w:val="center"/>
        <w:rPr>
          <w:b/>
          <w:sz w:val="22"/>
          <w:szCs w:val="22"/>
          <w:lang w:val="en-US"/>
        </w:rPr>
      </w:pPr>
      <w:r w:rsidRPr="00BA75DE">
        <w:rPr>
          <w:b/>
          <w:sz w:val="22"/>
          <w:szCs w:val="22"/>
          <w:lang w:val="en-US"/>
        </w:rPr>
        <w:t xml:space="preserve">CHILLED WATER </w:t>
      </w:r>
      <w:r>
        <w:rPr>
          <w:b/>
          <w:sz w:val="22"/>
          <w:szCs w:val="22"/>
          <w:lang w:val="en-US"/>
        </w:rPr>
        <w:t xml:space="preserve">THERMAL STORAGE </w:t>
      </w:r>
      <w:r w:rsidRPr="00BA75DE">
        <w:rPr>
          <w:b/>
          <w:sz w:val="22"/>
          <w:szCs w:val="22"/>
          <w:lang w:val="en-US"/>
        </w:rPr>
        <w:t>FOR REDUCING THE ELECTRICAL ENERGY DEMAND IN A COMMERCIAL ENTERPRISE</w:t>
      </w:r>
      <w:r>
        <w:rPr>
          <w:b/>
          <w:sz w:val="22"/>
          <w:szCs w:val="22"/>
          <w:lang w:val="en-US"/>
        </w:rPr>
        <w:t xml:space="preserve"> </w:t>
      </w:r>
    </w:p>
    <w:p w14:paraId="3DDF2EFE" w14:textId="77777777" w:rsidR="006D7BEF" w:rsidRPr="00637B4C" w:rsidRDefault="006D7BEF" w:rsidP="006D7BEF">
      <w:pPr>
        <w:tabs>
          <w:tab w:val="left" w:pos="6313"/>
        </w:tabs>
        <w:adjustRightInd w:val="0"/>
        <w:rPr>
          <w:b/>
          <w:szCs w:val="22"/>
          <w:lang w:val="en-US"/>
        </w:rPr>
      </w:pPr>
      <w:r>
        <w:rPr>
          <w:b/>
          <w:szCs w:val="22"/>
          <w:lang w:val="en-US"/>
        </w:rPr>
        <w:tab/>
      </w:r>
    </w:p>
    <w:p w14:paraId="2E79EED2" w14:textId="0486DF9D" w:rsidR="00A70D79" w:rsidRDefault="00E74C1E" w:rsidP="00380272">
      <w:pPr>
        <w:ind w:right="-1"/>
        <w:jc w:val="both"/>
        <w:rPr>
          <w:sz w:val="22"/>
          <w:szCs w:val="22"/>
          <w:lang w:val="en-US"/>
        </w:rPr>
      </w:pPr>
      <w:r w:rsidRPr="00637B4C">
        <w:rPr>
          <w:b/>
          <w:sz w:val="22"/>
          <w:szCs w:val="22"/>
          <w:lang w:val="en-US"/>
        </w:rPr>
        <w:t>ABSTRACT</w:t>
      </w:r>
      <w:r w:rsidRPr="00637B4C">
        <w:rPr>
          <w:sz w:val="22"/>
          <w:szCs w:val="22"/>
          <w:lang w:val="en-US"/>
        </w:rPr>
        <w:t xml:space="preserve">: </w:t>
      </w:r>
      <w:r w:rsidR="005617FD" w:rsidRPr="005617FD">
        <w:rPr>
          <w:sz w:val="22"/>
          <w:szCs w:val="22"/>
          <w:lang w:val="en-US"/>
        </w:rPr>
        <w:t xml:space="preserve">Excessive consumption and waste of electricity are recurring challenges in industry and enterprises. In this sense, reflection on energy efficiency becomes essential, seeking not only to reduce electricity costs, but also to improve the performance and useful life of equipment. This strategic approach has a direct impact both in the financial sphere and in the operations of the establishments. Based on this context, the present study aims to evaluate the impact of using cold water storage in reducing electrical demand during peak hours in a commercial enterprise. In addition, we seek to analyze the economic effects resulting from this practice on the energy bill. For this, parameters were identified in the establishment's load curve that made it possible to reduce the amount paid for electricity, through the use of already available </w:t>
      </w:r>
      <w:proofErr w:type="gramStart"/>
      <w:r w:rsidR="005617FD" w:rsidRPr="005617FD">
        <w:rPr>
          <w:sz w:val="22"/>
          <w:szCs w:val="22"/>
          <w:lang w:val="en-US"/>
        </w:rPr>
        <w:t>cold water</w:t>
      </w:r>
      <w:proofErr w:type="gramEnd"/>
      <w:r w:rsidR="005617FD" w:rsidRPr="005617FD">
        <w:rPr>
          <w:sz w:val="22"/>
          <w:szCs w:val="22"/>
          <w:lang w:val="en-US"/>
        </w:rPr>
        <w:t xml:space="preserve"> tanks, without the need for any initial investment.</w:t>
      </w:r>
    </w:p>
    <w:p w14:paraId="38493584" w14:textId="372F5919" w:rsidR="00E74C1E" w:rsidRPr="00637B4C" w:rsidRDefault="00E74C1E" w:rsidP="00380272">
      <w:pPr>
        <w:ind w:right="-1"/>
        <w:jc w:val="both"/>
        <w:rPr>
          <w:sz w:val="22"/>
          <w:szCs w:val="22"/>
          <w:lang w:val="en-US"/>
        </w:rPr>
      </w:pPr>
      <w:r w:rsidRPr="00637B4C">
        <w:rPr>
          <w:b/>
          <w:sz w:val="22"/>
          <w:szCs w:val="22"/>
          <w:lang w:val="en-US"/>
        </w:rPr>
        <w:t>KEYWORDS:</w:t>
      </w:r>
      <w:r w:rsidRPr="00637B4C">
        <w:rPr>
          <w:sz w:val="22"/>
          <w:szCs w:val="22"/>
          <w:lang w:val="en-US"/>
        </w:rPr>
        <w:t xml:space="preserve"> </w:t>
      </w:r>
      <w:r w:rsidR="0001166C" w:rsidRPr="0001166C">
        <w:rPr>
          <w:sz w:val="22"/>
          <w:szCs w:val="22"/>
          <w:lang w:val="en-US"/>
        </w:rPr>
        <w:t>Energy Efficiency</w:t>
      </w:r>
      <w:r w:rsidR="0001166C">
        <w:rPr>
          <w:sz w:val="22"/>
          <w:szCs w:val="22"/>
          <w:lang w:val="en-US"/>
        </w:rPr>
        <w:t xml:space="preserve">, </w:t>
      </w:r>
      <w:r w:rsidR="00FA5944" w:rsidRPr="00FA5944">
        <w:rPr>
          <w:sz w:val="22"/>
          <w:szCs w:val="22"/>
          <w:lang w:val="en-US"/>
        </w:rPr>
        <w:t>Cooling</w:t>
      </w:r>
      <w:r w:rsidR="0001166C">
        <w:rPr>
          <w:sz w:val="22"/>
          <w:szCs w:val="22"/>
          <w:lang w:val="en-US"/>
        </w:rPr>
        <w:t xml:space="preserve">, Load Curve, Chiller, Fan-Coil. </w:t>
      </w:r>
    </w:p>
    <w:p w14:paraId="6B96DB26" w14:textId="77777777" w:rsidR="00611409" w:rsidRPr="008C436D" w:rsidRDefault="00611409" w:rsidP="00380272">
      <w:pPr>
        <w:pStyle w:val="TextosemFormatao"/>
        <w:spacing w:beforeAutospacing="0" w:afterAutospacing="0"/>
        <w:rPr>
          <w:rFonts w:ascii="Times New Roman" w:hAnsi="Times New Roman"/>
          <w:b/>
          <w:sz w:val="22"/>
          <w:szCs w:val="22"/>
          <w:lang w:val="en-US"/>
        </w:rPr>
      </w:pPr>
    </w:p>
    <w:p w14:paraId="1562249D" w14:textId="77777777" w:rsidR="00E74C1E" w:rsidRPr="00437A35" w:rsidRDefault="00E74C1E" w:rsidP="00380272">
      <w:pPr>
        <w:pStyle w:val="TextosemFormatao"/>
        <w:spacing w:beforeAutospacing="0" w:afterAutospacing="0"/>
        <w:rPr>
          <w:rFonts w:ascii="Times New Roman" w:hAnsi="Times New Roman"/>
          <w:b/>
          <w:sz w:val="22"/>
          <w:szCs w:val="22"/>
          <w:lang w:val="pt-BR"/>
        </w:rPr>
      </w:pPr>
      <w:r w:rsidRPr="00437A35">
        <w:rPr>
          <w:rFonts w:ascii="Times New Roman" w:hAnsi="Times New Roman"/>
          <w:b/>
          <w:sz w:val="22"/>
          <w:szCs w:val="22"/>
          <w:lang w:val="pt-BR"/>
        </w:rPr>
        <w:t>INTRODUÇÃO</w:t>
      </w:r>
    </w:p>
    <w:p w14:paraId="71234C69" w14:textId="77777777" w:rsidR="00A8244E" w:rsidRDefault="00A8244E" w:rsidP="00AA484C">
      <w:pPr>
        <w:pStyle w:val="Corpodetexto"/>
        <w:ind w:firstLine="709"/>
        <w:jc w:val="both"/>
        <w:rPr>
          <w:sz w:val="22"/>
          <w:szCs w:val="22"/>
        </w:rPr>
      </w:pPr>
      <w:r w:rsidRPr="00A8244E">
        <w:rPr>
          <w:sz w:val="22"/>
          <w:szCs w:val="22"/>
        </w:rPr>
        <w:t>Estabelecimentos comerciais, empresas de grande porte, teatros, cinemas e outros tipos de espaços demandam sistemas de ar-condicionado de grande escala, o que resulta em altos custos de energia elétrica, especialmente durante os horários de pico. De acordo com Queiroz</w:t>
      </w:r>
      <w:r>
        <w:rPr>
          <w:sz w:val="22"/>
          <w:szCs w:val="22"/>
        </w:rPr>
        <w:t xml:space="preserve"> </w:t>
      </w:r>
      <w:r w:rsidRPr="00A8244E">
        <w:rPr>
          <w:sz w:val="22"/>
          <w:szCs w:val="22"/>
        </w:rPr>
        <w:t>(2011), uma alternativa para reduzir essas despesas é a implementação de sistemas de termoacumulação. Nesse método, a produção de água gelada para armazenamento ocorre durante os períodos de menor custo de energia elétrica (fora dos horários de pico), e é então utilizada quando é economicamente viável para garantir o controle de temperatura dos ambientes.</w:t>
      </w:r>
    </w:p>
    <w:p w14:paraId="72374CE1" w14:textId="77777777" w:rsidR="00BB2FAB" w:rsidRDefault="00FD7A31" w:rsidP="00AA484C">
      <w:pPr>
        <w:pStyle w:val="Corpodetexto"/>
        <w:ind w:firstLine="709"/>
        <w:jc w:val="both"/>
        <w:rPr>
          <w:sz w:val="22"/>
          <w:szCs w:val="22"/>
        </w:rPr>
      </w:pPr>
      <w:r>
        <w:rPr>
          <w:sz w:val="22"/>
          <w:szCs w:val="22"/>
        </w:rPr>
        <w:t xml:space="preserve">Segundo Santos (2020), </w:t>
      </w:r>
      <w:r w:rsidR="00BB2FAB" w:rsidRPr="00BB2FAB">
        <w:rPr>
          <w:sz w:val="22"/>
          <w:szCs w:val="22"/>
        </w:rPr>
        <w:t xml:space="preserve">os tanques de acumulação térmica são reservatórios de grande porte que armazenam energia térmica, permitindo seu uso em momentos específicos e estratégicos. É importante ressaltar que essa solução não resulta em redução direta do consumo elétrico, mas possibilita o deslocamento de carga. Para isso, o sistema de refrigeração costuma ser programado para utilizar os </w:t>
      </w:r>
      <w:proofErr w:type="spellStart"/>
      <w:r w:rsidR="00BB2FAB" w:rsidRPr="00BB2FAB">
        <w:rPr>
          <w:sz w:val="22"/>
          <w:szCs w:val="22"/>
        </w:rPr>
        <w:lastRenderedPageBreak/>
        <w:t>chillers</w:t>
      </w:r>
      <w:proofErr w:type="spellEnd"/>
      <w:r w:rsidR="00BB2FAB" w:rsidRPr="00BB2FAB">
        <w:rPr>
          <w:sz w:val="22"/>
          <w:szCs w:val="22"/>
        </w:rPr>
        <w:t xml:space="preserve"> durante os horários fora de pico, a fim de carregar o tanque de acumulação térmica, armazenando uma carga térmica que será utilizada nos horários de pico. Dessa forma, o consumo de energia elétrica é deslocado para um período em que não há uma alta demanda no Sistema Interligado Nacional (SIN).</w:t>
      </w:r>
    </w:p>
    <w:p w14:paraId="1747CFF3" w14:textId="10915B38" w:rsidR="004F6DB9" w:rsidRDefault="00792DF6" w:rsidP="00792DF6">
      <w:pPr>
        <w:pStyle w:val="Corpodetexto"/>
        <w:ind w:firstLine="709"/>
        <w:jc w:val="both"/>
        <w:rPr>
          <w:sz w:val="22"/>
          <w:szCs w:val="22"/>
        </w:rPr>
      </w:pPr>
      <w:r w:rsidRPr="007F2405">
        <w:rPr>
          <w:sz w:val="22"/>
          <w:szCs w:val="22"/>
        </w:rPr>
        <w:t xml:space="preserve">Diante do exposto, </w:t>
      </w:r>
      <w:r w:rsidR="00564B9E" w:rsidRPr="007F2405">
        <w:rPr>
          <w:sz w:val="22"/>
          <w:szCs w:val="22"/>
        </w:rPr>
        <w:t xml:space="preserve">o presente artigo científico tem como objetivo avaliar o impacto da termoacumulação de água gelada na redução da demanda elétrica em um empreendimento comercial durante horários de </w:t>
      </w:r>
      <w:r w:rsidR="00383F0E">
        <w:rPr>
          <w:sz w:val="22"/>
          <w:szCs w:val="22"/>
        </w:rPr>
        <w:t>ponta</w:t>
      </w:r>
      <w:r w:rsidR="00564B9E" w:rsidRPr="007F2405">
        <w:rPr>
          <w:sz w:val="22"/>
          <w:szCs w:val="22"/>
        </w:rPr>
        <w:t xml:space="preserve">, bem como analisar </w:t>
      </w:r>
      <w:r w:rsidR="00BC661C" w:rsidRPr="007F2405">
        <w:rPr>
          <w:sz w:val="22"/>
          <w:szCs w:val="22"/>
        </w:rPr>
        <w:t>os efeitos econômicos resultantes dessa estratégia na conta de energia.</w:t>
      </w:r>
    </w:p>
    <w:p w14:paraId="41C22864" w14:textId="77777777" w:rsidR="00564B9E" w:rsidRDefault="00564B9E" w:rsidP="00792DF6">
      <w:pPr>
        <w:pStyle w:val="Corpodetexto"/>
        <w:ind w:firstLine="709"/>
        <w:jc w:val="both"/>
        <w:rPr>
          <w:sz w:val="22"/>
          <w:szCs w:val="22"/>
        </w:rPr>
      </w:pPr>
    </w:p>
    <w:p w14:paraId="1EDA164D" w14:textId="77777777" w:rsidR="00E74C1E" w:rsidRDefault="00E74C1E" w:rsidP="00380272">
      <w:pPr>
        <w:ind w:right="-1"/>
        <w:rPr>
          <w:b/>
          <w:sz w:val="22"/>
          <w:szCs w:val="22"/>
        </w:rPr>
      </w:pPr>
      <w:r w:rsidRPr="00437A35">
        <w:rPr>
          <w:b/>
          <w:sz w:val="22"/>
          <w:szCs w:val="22"/>
        </w:rPr>
        <w:t>MATERIA</w:t>
      </w:r>
      <w:r w:rsidR="001A5BA0">
        <w:rPr>
          <w:b/>
          <w:sz w:val="22"/>
          <w:szCs w:val="22"/>
        </w:rPr>
        <w:t>L</w:t>
      </w:r>
      <w:r w:rsidRPr="00437A35">
        <w:rPr>
          <w:b/>
          <w:sz w:val="22"/>
          <w:szCs w:val="22"/>
        </w:rPr>
        <w:t xml:space="preserve"> E MÉTODOS </w:t>
      </w:r>
    </w:p>
    <w:p w14:paraId="2F9641F8" w14:textId="784424A6" w:rsidR="0075333B" w:rsidRPr="0075333B" w:rsidRDefault="0075333B" w:rsidP="0075333B">
      <w:pPr>
        <w:tabs>
          <w:tab w:val="left" w:pos="0"/>
        </w:tabs>
        <w:autoSpaceDE w:val="0"/>
        <w:autoSpaceDN w:val="0"/>
        <w:adjustRightInd w:val="0"/>
        <w:jc w:val="both"/>
        <w:rPr>
          <w:sz w:val="22"/>
          <w:szCs w:val="22"/>
        </w:rPr>
      </w:pPr>
      <w:r w:rsidRPr="0075333B">
        <w:rPr>
          <w:sz w:val="22"/>
          <w:szCs w:val="22"/>
        </w:rPr>
        <w:tab/>
      </w:r>
      <w:r w:rsidR="006D7790" w:rsidRPr="001D24D2">
        <w:rPr>
          <w:sz w:val="22"/>
          <w:szCs w:val="22"/>
        </w:rPr>
        <w:t>O estudo de caso em questão foi realizado durante o período de 1</w:t>
      </w:r>
      <w:r w:rsidR="001D24D2" w:rsidRPr="001D24D2">
        <w:rPr>
          <w:sz w:val="22"/>
          <w:szCs w:val="22"/>
        </w:rPr>
        <w:t>0</w:t>
      </w:r>
      <w:r w:rsidR="006D7790" w:rsidRPr="001D24D2">
        <w:rPr>
          <w:sz w:val="22"/>
          <w:szCs w:val="22"/>
        </w:rPr>
        <w:t xml:space="preserve"> de </w:t>
      </w:r>
      <w:r w:rsidR="001D24D2" w:rsidRPr="001D24D2">
        <w:rPr>
          <w:sz w:val="22"/>
          <w:szCs w:val="22"/>
        </w:rPr>
        <w:t>março</w:t>
      </w:r>
      <w:r w:rsidR="006D7790" w:rsidRPr="001D24D2">
        <w:rPr>
          <w:sz w:val="22"/>
          <w:szCs w:val="22"/>
        </w:rPr>
        <w:t xml:space="preserve"> de 2022 a </w:t>
      </w:r>
      <w:r w:rsidR="001D24D2" w:rsidRPr="001D24D2">
        <w:rPr>
          <w:sz w:val="22"/>
          <w:szCs w:val="22"/>
        </w:rPr>
        <w:t>15</w:t>
      </w:r>
      <w:r w:rsidR="006D7790" w:rsidRPr="001D24D2">
        <w:rPr>
          <w:sz w:val="22"/>
          <w:szCs w:val="22"/>
        </w:rPr>
        <w:t xml:space="preserve"> de </w:t>
      </w:r>
      <w:r w:rsidR="001D24D2" w:rsidRPr="001D24D2">
        <w:rPr>
          <w:sz w:val="22"/>
          <w:szCs w:val="22"/>
        </w:rPr>
        <w:t>abril</w:t>
      </w:r>
      <w:r w:rsidR="006D7790" w:rsidRPr="001D24D2">
        <w:rPr>
          <w:sz w:val="22"/>
          <w:szCs w:val="22"/>
        </w:rPr>
        <w:t xml:space="preserve"> de 2022</w:t>
      </w:r>
      <w:r w:rsidR="00272AB7">
        <w:rPr>
          <w:sz w:val="22"/>
          <w:szCs w:val="22"/>
        </w:rPr>
        <w:t xml:space="preserve">. </w:t>
      </w:r>
      <w:r w:rsidRPr="0075333B">
        <w:rPr>
          <w:sz w:val="22"/>
          <w:szCs w:val="22"/>
        </w:rPr>
        <w:t>O empreendimento que será objeto de investigação na análise de desempenho energético</w:t>
      </w:r>
      <w:r>
        <w:rPr>
          <w:sz w:val="22"/>
          <w:szCs w:val="22"/>
        </w:rPr>
        <w:t xml:space="preserve"> </w:t>
      </w:r>
      <w:r w:rsidRPr="0075333B">
        <w:rPr>
          <w:sz w:val="22"/>
          <w:szCs w:val="22"/>
        </w:rPr>
        <w:t xml:space="preserve">encontra-se em Olinda, </w:t>
      </w:r>
      <w:r w:rsidR="00AF392F">
        <w:rPr>
          <w:sz w:val="22"/>
          <w:szCs w:val="22"/>
        </w:rPr>
        <w:t>Pernambuc</w:t>
      </w:r>
      <w:r w:rsidR="00CC1304">
        <w:rPr>
          <w:sz w:val="22"/>
          <w:szCs w:val="22"/>
        </w:rPr>
        <w:t xml:space="preserve">o, </w:t>
      </w:r>
      <w:r w:rsidRPr="0075333B">
        <w:rPr>
          <w:sz w:val="22"/>
          <w:szCs w:val="22"/>
        </w:rPr>
        <w:t xml:space="preserve">sendo um centro de compras inaugurado em 24 de abril de 2018. Sua construção possui uma área total de 137 mil </w:t>
      </w:r>
      <w:r>
        <w:rPr>
          <w:sz w:val="22"/>
          <w:szCs w:val="22"/>
        </w:rPr>
        <w:t>m</w:t>
      </w:r>
      <w:r w:rsidR="002E7B75">
        <w:rPr>
          <w:sz w:val="22"/>
          <w:szCs w:val="22"/>
        </w:rPr>
        <w:t>²</w:t>
      </w:r>
      <w:r w:rsidRPr="0075333B">
        <w:rPr>
          <w:sz w:val="22"/>
          <w:szCs w:val="22"/>
        </w:rPr>
        <w:t xml:space="preserve"> e uma área bruta locável (ABL) de 51 mil</w:t>
      </w:r>
      <w:r w:rsidR="002E7B75">
        <w:rPr>
          <w:sz w:val="22"/>
          <w:szCs w:val="22"/>
        </w:rPr>
        <w:t xml:space="preserve"> m²</w:t>
      </w:r>
      <w:r w:rsidRPr="0075333B">
        <w:rPr>
          <w:sz w:val="22"/>
          <w:szCs w:val="22"/>
        </w:rPr>
        <w:t>. O edifício é composto por cinco pavimentos de lojas, em cada um dos quais encontra-se uma subestação abrigada com capacidade de 1.500kVA, além de uma subestação exclusiva para a CAG (Central de Água Gelada) com capacidade de 2.000kVA.</w:t>
      </w:r>
    </w:p>
    <w:p w14:paraId="7D3C4828" w14:textId="773AB167" w:rsidR="00673440" w:rsidRPr="00437A35" w:rsidRDefault="0075333B" w:rsidP="00C77D38">
      <w:pPr>
        <w:ind w:right="-1" w:firstLine="709"/>
        <w:jc w:val="both"/>
        <w:rPr>
          <w:sz w:val="22"/>
          <w:szCs w:val="22"/>
        </w:rPr>
      </w:pPr>
      <w:r w:rsidRPr="0075333B">
        <w:rPr>
          <w:sz w:val="22"/>
          <w:szCs w:val="22"/>
        </w:rPr>
        <w:t xml:space="preserve">A </w:t>
      </w:r>
      <w:r w:rsidR="002E7B75">
        <w:rPr>
          <w:sz w:val="22"/>
          <w:szCs w:val="22"/>
        </w:rPr>
        <w:t>CAG</w:t>
      </w:r>
      <w:r w:rsidRPr="0075333B">
        <w:rPr>
          <w:sz w:val="22"/>
          <w:szCs w:val="22"/>
        </w:rPr>
        <w:t xml:space="preserve"> é equipada com quatro </w:t>
      </w:r>
      <w:proofErr w:type="spellStart"/>
      <w:r w:rsidRPr="0075333B">
        <w:rPr>
          <w:sz w:val="22"/>
          <w:szCs w:val="22"/>
        </w:rPr>
        <w:t>chillers</w:t>
      </w:r>
      <w:proofErr w:type="spellEnd"/>
      <w:r w:rsidRPr="0075333B">
        <w:rPr>
          <w:sz w:val="22"/>
          <w:szCs w:val="22"/>
        </w:rPr>
        <w:t xml:space="preserve">, sendo dois destinados ao sistema de alta temperatura, responsáveis pelo fornecimento de ar-condicionado às lojas, e outros dois para o sistema de baixa temperatura, que atendem aos </w:t>
      </w:r>
      <w:proofErr w:type="spellStart"/>
      <w:r w:rsidRPr="0075333B">
        <w:rPr>
          <w:sz w:val="22"/>
          <w:szCs w:val="22"/>
        </w:rPr>
        <w:t>fancoils</w:t>
      </w:r>
      <w:proofErr w:type="spellEnd"/>
      <w:r w:rsidRPr="0075333B">
        <w:rPr>
          <w:sz w:val="22"/>
          <w:szCs w:val="22"/>
        </w:rPr>
        <w:t xml:space="preserve"> localizados no corredor do shopping. Além disso, são utilizadas três torres de arrefecimento e três tanques de água gelada, sendo dois destinados ao suprimento das lojas e um ao suprimento </w:t>
      </w:r>
      <w:r w:rsidR="009B2CE6">
        <w:rPr>
          <w:sz w:val="22"/>
          <w:szCs w:val="22"/>
        </w:rPr>
        <w:t>da área comum</w:t>
      </w:r>
      <w:r w:rsidRPr="0075333B">
        <w:rPr>
          <w:sz w:val="22"/>
          <w:szCs w:val="22"/>
        </w:rPr>
        <w:t xml:space="preserve"> do shopping</w:t>
      </w:r>
      <w:r w:rsidR="00F97443">
        <w:rPr>
          <w:sz w:val="22"/>
          <w:szCs w:val="22"/>
        </w:rPr>
        <w:t>.</w:t>
      </w:r>
    </w:p>
    <w:p w14:paraId="0CA92131" w14:textId="77777777" w:rsidR="006B382B" w:rsidRDefault="00BD1634" w:rsidP="006F0E1F">
      <w:pPr>
        <w:tabs>
          <w:tab w:val="left" w:pos="0"/>
        </w:tabs>
        <w:autoSpaceDE w:val="0"/>
        <w:autoSpaceDN w:val="0"/>
        <w:adjustRightInd w:val="0"/>
        <w:jc w:val="both"/>
        <w:rPr>
          <w:sz w:val="22"/>
          <w:szCs w:val="22"/>
        </w:rPr>
      </w:pPr>
      <w:r>
        <w:rPr>
          <w:sz w:val="22"/>
          <w:szCs w:val="22"/>
        </w:rPr>
        <w:tab/>
      </w:r>
      <w:r w:rsidRPr="00BD1634">
        <w:rPr>
          <w:sz w:val="22"/>
          <w:szCs w:val="22"/>
        </w:rPr>
        <w:t>A tensão de fornecimento do empreendimento é de 69kV, e sua aquisição de energia é realizada por meio do ACL (Ambiente de Contratação Livre), também conhecido como mercado livre de energia. Após migrar para o mercado livre, o empreendimento optou por não utilizar mais o sistema de tanques de armazenamento de água gelada durante o horário de pico, pois não haveria cobrança adicional pela energia consumida nesse período.</w:t>
      </w:r>
    </w:p>
    <w:p w14:paraId="4F6B159D" w14:textId="1D0F7184" w:rsidR="00B52157" w:rsidRDefault="00B52157" w:rsidP="006F0E1F">
      <w:pPr>
        <w:tabs>
          <w:tab w:val="left" w:pos="0"/>
        </w:tabs>
        <w:autoSpaceDE w:val="0"/>
        <w:autoSpaceDN w:val="0"/>
        <w:adjustRightInd w:val="0"/>
        <w:jc w:val="both"/>
        <w:rPr>
          <w:sz w:val="22"/>
          <w:szCs w:val="22"/>
        </w:rPr>
      </w:pPr>
      <w:r>
        <w:rPr>
          <w:sz w:val="22"/>
          <w:szCs w:val="22"/>
        </w:rPr>
        <w:tab/>
      </w:r>
      <w:r w:rsidRPr="00B52157">
        <w:rPr>
          <w:sz w:val="22"/>
          <w:szCs w:val="22"/>
        </w:rPr>
        <w:t xml:space="preserve">Após analisar a fatura de energia e a curva de carga do empreendimento, observou-se que a demanda durante os horários de pico e fora de pico era praticamente a mesma. Foi constatado que os </w:t>
      </w:r>
      <w:r>
        <w:rPr>
          <w:sz w:val="22"/>
          <w:szCs w:val="22"/>
        </w:rPr>
        <w:t>quatro</w:t>
      </w:r>
      <w:r w:rsidRPr="00B52157">
        <w:rPr>
          <w:sz w:val="22"/>
          <w:szCs w:val="22"/>
        </w:rPr>
        <w:t xml:space="preserve"> </w:t>
      </w:r>
      <w:proofErr w:type="spellStart"/>
      <w:r w:rsidRPr="00B52157">
        <w:rPr>
          <w:sz w:val="22"/>
          <w:szCs w:val="22"/>
        </w:rPr>
        <w:t>chillers</w:t>
      </w:r>
      <w:proofErr w:type="spellEnd"/>
      <w:r w:rsidRPr="00B52157">
        <w:rPr>
          <w:sz w:val="22"/>
          <w:szCs w:val="22"/>
        </w:rPr>
        <w:t xml:space="preserve"> permanecem ligados durante todo o horário de funcionamento do shopping, mesmo havendo um sistema de tanques disponível. Os tanques são utilizados apenas em casos de manutenção ou falha dos </w:t>
      </w:r>
      <w:proofErr w:type="spellStart"/>
      <w:r w:rsidRPr="00B52157">
        <w:rPr>
          <w:sz w:val="22"/>
          <w:szCs w:val="22"/>
        </w:rPr>
        <w:t>chillers</w:t>
      </w:r>
      <w:proofErr w:type="spellEnd"/>
      <w:r w:rsidRPr="00B52157">
        <w:rPr>
          <w:sz w:val="22"/>
          <w:szCs w:val="22"/>
        </w:rPr>
        <w:t xml:space="preserve">, além de suprir as operações fora do horário normal do shopping. Esses horários de utilização dos tanques são das 7h às 9h para as clínicas e das 22h às 00h para os restaurantes. </w:t>
      </w:r>
      <w:r w:rsidR="007247D0">
        <w:rPr>
          <w:sz w:val="22"/>
          <w:szCs w:val="22"/>
        </w:rPr>
        <w:t xml:space="preserve">Nas figuras 1, 2 e 3 </w:t>
      </w:r>
      <w:r w:rsidRPr="00B52157">
        <w:rPr>
          <w:sz w:val="22"/>
          <w:szCs w:val="22"/>
        </w:rPr>
        <w:t>estão os detalhes do horário de funcionamento da CAG, a curva de carga diária e a fatura de energia do empreendimento</w:t>
      </w:r>
      <w:r w:rsidR="007247D0">
        <w:rPr>
          <w:sz w:val="22"/>
          <w:szCs w:val="22"/>
        </w:rPr>
        <w:t>, respectivamente.</w:t>
      </w:r>
    </w:p>
    <w:p w14:paraId="5A290672" w14:textId="77777777" w:rsidR="004E0353" w:rsidRDefault="004E0353" w:rsidP="006F0E1F">
      <w:pPr>
        <w:tabs>
          <w:tab w:val="left" w:pos="0"/>
        </w:tabs>
        <w:autoSpaceDE w:val="0"/>
        <w:autoSpaceDN w:val="0"/>
        <w:adjustRightInd w:val="0"/>
        <w:jc w:val="both"/>
        <w:rPr>
          <w:sz w:val="22"/>
          <w:szCs w:val="22"/>
        </w:rPr>
      </w:pPr>
    </w:p>
    <w:p w14:paraId="72E91828" w14:textId="471BF291" w:rsidR="004E0353" w:rsidRPr="00F97443" w:rsidRDefault="004E0353" w:rsidP="004E0353">
      <w:pPr>
        <w:rPr>
          <w:rFonts w:ascii="Arial Narrow" w:hAnsi="Arial Narrow"/>
          <w:iCs/>
          <w:sz w:val="22"/>
          <w:szCs w:val="22"/>
        </w:rPr>
      </w:pPr>
      <w:r w:rsidRPr="00F97443">
        <w:rPr>
          <w:sz w:val="22"/>
          <w:szCs w:val="22"/>
        </w:rPr>
        <w:t xml:space="preserve">Figura </w:t>
      </w:r>
      <w:r w:rsidR="00C77D38">
        <w:rPr>
          <w:sz w:val="22"/>
          <w:szCs w:val="22"/>
        </w:rPr>
        <w:t>1</w:t>
      </w:r>
      <w:r w:rsidRPr="00F97443">
        <w:rPr>
          <w:sz w:val="22"/>
          <w:szCs w:val="22"/>
        </w:rPr>
        <w:t xml:space="preserve">. </w:t>
      </w:r>
      <w:r>
        <w:rPr>
          <w:sz w:val="22"/>
          <w:szCs w:val="22"/>
        </w:rPr>
        <w:t xml:space="preserve"> </w:t>
      </w:r>
      <w:r w:rsidRPr="004E0353">
        <w:rPr>
          <w:sz w:val="22"/>
          <w:szCs w:val="22"/>
        </w:rPr>
        <w:t>Programação de horário da CAG, anterior ao estudo</w:t>
      </w:r>
      <w:r>
        <w:rPr>
          <w:sz w:val="22"/>
          <w:szCs w:val="22"/>
        </w:rPr>
        <w:t>.</w:t>
      </w:r>
    </w:p>
    <w:p w14:paraId="4F320F17" w14:textId="4A758156" w:rsidR="00B25CB5" w:rsidRDefault="00764BAE" w:rsidP="00B25CB5">
      <w:pPr>
        <w:ind w:right="-1"/>
        <w:jc w:val="center"/>
        <w:rPr>
          <w:noProof/>
        </w:rPr>
      </w:pPr>
      <w:r w:rsidRPr="00466572">
        <w:rPr>
          <w:noProof/>
        </w:rPr>
        <w:drawing>
          <wp:inline distT="0" distB="0" distL="0" distR="0" wp14:anchorId="1739D193" wp14:editId="3F2BE3DB">
            <wp:extent cx="3628339" cy="2232436"/>
            <wp:effectExtent l="0" t="0" r="0" b="0"/>
            <wp:docPr id="9"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40433" cy="2239877"/>
                    </a:xfrm>
                    <a:prstGeom prst="rect">
                      <a:avLst/>
                    </a:prstGeom>
                    <a:noFill/>
                    <a:ln>
                      <a:noFill/>
                    </a:ln>
                  </pic:spPr>
                </pic:pic>
              </a:graphicData>
            </a:graphic>
          </wp:inline>
        </w:drawing>
      </w:r>
    </w:p>
    <w:p w14:paraId="253AC9C0" w14:textId="2B9A266B" w:rsidR="007C226A" w:rsidRDefault="007C226A" w:rsidP="004E0353">
      <w:pPr>
        <w:ind w:right="-1"/>
        <w:jc w:val="center"/>
        <w:rPr>
          <w:noProof/>
        </w:rPr>
      </w:pPr>
      <w:r>
        <w:rPr>
          <w:noProof/>
        </w:rPr>
        <w:t>Fonte: E</w:t>
      </w:r>
      <w:r w:rsidRPr="007C226A">
        <w:rPr>
          <w:noProof/>
        </w:rPr>
        <w:t>laborad</w:t>
      </w:r>
      <w:r w:rsidR="0052575F">
        <w:rPr>
          <w:noProof/>
        </w:rPr>
        <w:t>a</w:t>
      </w:r>
      <w:r w:rsidRPr="007C226A">
        <w:rPr>
          <w:noProof/>
        </w:rPr>
        <w:t xml:space="preserve"> pelo autor</w:t>
      </w:r>
      <w:r>
        <w:rPr>
          <w:noProof/>
        </w:rPr>
        <w:t xml:space="preserve"> (2022)</w:t>
      </w:r>
    </w:p>
    <w:p w14:paraId="7BE907E5" w14:textId="0FA28857" w:rsidR="004E0353" w:rsidRPr="004E0353" w:rsidRDefault="004E0353" w:rsidP="004E0353">
      <w:pPr>
        <w:rPr>
          <w:rFonts w:ascii="Arial Narrow" w:hAnsi="Arial Narrow"/>
          <w:iCs/>
          <w:sz w:val="22"/>
          <w:szCs w:val="22"/>
        </w:rPr>
      </w:pPr>
      <w:r w:rsidRPr="00F97443">
        <w:rPr>
          <w:sz w:val="22"/>
          <w:szCs w:val="22"/>
        </w:rPr>
        <w:lastRenderedPageBreak/>
        <w:t xml:space="preserve">Figura </w:t>
      </w:r>
      <w:r w:rsidR="00C77D38">
        <w:rPr>
          <w:sz w:val="22"/>
          <w:szCs w:val="22"/>
        </w:rPr>
        <w:t>2</w:t>
      </w:r>
      <w:r w:rsidRPr="00F97443">
        <w:rPr>
          <w:sz w:val="22"/>
          <w:szCs w:val="22"/>
        </w:rPr>
        <w:t xml:space="preserve">. </w:t>
      </w:r>
      <w:r>
        <w:rPr>
          <w:sz w:val="22"/>
          <w:szCs w:val="22"/>
        </w:rPr>
        <w:t xml:space="preserve"> </w:t>
      </w:r>
      <w:r w:rsidRPr="004E0353">
        <w:rPr>
          <w:sz w:val="22"/>
          <w:szCs w:val="22"/>
        </w:rPr>
        <w:t>Curva de carga do empreendimento, anterior ao estudo</w:t>
      </w:r>
      <w:r>
        <w:rPr>
          <w:sz w:val="22"/>
          <w:szCs w:val="22"/>
        </w:rPr>
        <w:t>.</w:t>
      </w:r>
    </w:p>
    <w:p w14:paraId="35E0D667" w14:textId="18A901D7" w:rsidR="004E0353" w:rsidRDefault="00764BAE" w:rsidP="004E0353">
      <w:pPr>
        <w:tabs>
          <w:tab w:val="left" w:pos="0"/>
        </w:tabs>
        <w:autoSpaceDE w:val="0"/>
        <w:autoSpaceDN w:val="0"/>
        <w:adjustRightInd w:val="0"/>
        <w:jc w:val="center"/>
        <w:rPr>
          <w:noProof/>
        </w:rPr>
      </w:pPr>
      <w:r w:rsidRPr="00466572">
        <w:rPr>
          <w:noProof/>
        </w:rPr>
        <w:drawing>
          <wp:inline distT="0" distB="0" distL="0" distR="0" wp14:anchorId="2029BC7C" wp14:editId="1147611D">
            <wp:extent cx="4436708" cy="2136038"/>
            <wp:effectExtent l="0" t="0" r="2540" b="0"/>
            <wp:docPr id="10"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8" cstate="print">
                      <a:extLst>
                        <a:ext uri="{28A0092B-C50C-407E-A947-70E740481C1C}">
                          <a14:useLocalDpi xmlns:a14="http://schemas.microsoft.com/office/drawing/2010/main" val="0"/>
                        </a:ext>
                      </a:extLst>
                    </a:blip>
                    <a:srcRect l="19038" t="22124" r="14" b="7755"/>
                    <a:stretch>
                      <a:fillRect/>
                    </a:stretch>
                  </pic:blipFill>
                  <pic:spPr bwMode="auto">
                    <a:xfrm>
                      <a:off x="0" y="0"/>
                      <a:ext cx="4448465" cy="2141698"/>
                    </a:xfrm>
                    <a:prstGeom prst="rect">
                      <a:avLst/>
                    </a:prstGeom>
                    <a:noFill/>
                    <a:ln>
                      <a:noFill/>
                    </a:ln>
                  </pic:spPr>
                </pic:pic>
              </a:graphicData>
            </a:graphic>
          </wp:inline>
        </w:drawing>
      </w:r>
    </w:p>
    <w:p w14:paraId="155C568E" w14:textId="53C0AA7D" w:rsidR="00BA2439" w:rsidRDefault="00BA2439" w:rsidP="00BA2439">
      <w:pPr>
        <w:ind w:right="-1"/>
        <w:jc w:val="center"/>
        <w:rPr>
          <w:noProof/>
        </w:rPr>
      </w:pPr>
      <w:r>
        <w:rPr>
          <w:noProof/>
        </w:rPr>
        <w:t>Fonte: E</w:t>
      </w:r>
      <w:r w:rsidRPr="007C226A">
        <w:rPr>
          <w:noProof/>
        </w:rPr>
        <w:t>laborad</w:t>
      </w:r>
      <w:r w:rsidR="0052575F">
        <w:rPr>
          <w:noProof/>
        </w:rPr>
        <w:t>a</w:t>
      </w:r>
      <w:r w:rsidRPr="007C226A">
        <w:rPr>
          <w:noProof/>
        </w:rPr>
        <w:t xml:space="preserve"> pelo autor</w:t>
      </w:r>
      <w:r>
        <w:rPr>
          <w:noProof/>
        </w:rPr>
        <w:t xml:space="preserve"> (2022)</w:t>
      </w:r>
    </w:p>
    <w:p w14:paraId="0D2C9569" w14:textId="77777777" w:rsidR="00BA2439" w:rsidRDefault="00BA2439" w:rsidP="004E0353">
      <w:pPr>
        <w:tabs>
          <w:tab w:val="left" w:pos="0"/>
        </w:tabs>
        <w:autoSpaceDE w:val="0"/>
        <w:autoSpaceDN w:val="0"/>
        <w:adjustRightInd w:val="0"/>
        <w:jc w:val="center"/>
        <w:rPr>
          <w:noProof/>
        </w:rPr>
      </w:pPr>
    </w:p>
    <w:p w14:paraId="248CC9A1" w14:textId="16A874DC" w:rsidR="001F55F6" w:rsidRPr="001F55F6" w:rsidRDefault="001F55F6" w:rsidP="001F55F6">
      <w:pPr>
        <w:rPr>
          <w:sz w:val="22"/>
          <w:szCs w:val="22"/>
        </w:rPr>
      </w:pPr>
      <w:r w:rsidRPr="00F97443">
        <w:rPr>
          <w:sz w:val="22"/>
          <w:szCs w:val="22"/>
        </w:rPr>
        <w:t xml:space="preserve">Figura </w:t>
      </w:r>
      <w:r w:rsidR="001D24D2">
        <w:rPr>
          <w:sz w:val="22"/>
          <w:szCs w:val="22"/>
        </w:rPr>
        <w:t>3</w:t>
      </w:r>
      <w:r w:rsidRPr="00F97443">
        <w:rPr>
          <w:sz w:val="22"/>
          <w:szCs w:val="22"/>
        </w:rPr>
        <w:t xml:space="preserve">. </w:t>
      </w:r>
      <w:r>
        <w:rPr>
          <w:sz w:val="22"/>
          <w:szCs w:val="22"/>
        </w:rPr>
        <w:t xml:space="preserve"> </w:t>
      </w:r>
      <w:r w:rsidRPr="001F55F6">
        <w:rPr>
          <w:sz w:val="22"/>
          <w:szCs w:val="22"/>
        </w:rPr>
        <w:t>Detalhamento da fatura de energia, anterior ao estudo.</w:t>
      </w:r>
    </w:p>
    <w:p w14:paraId="481FF523" w14:textId="031909FE" w:rsidR="009101C1" w:rsidRDefault="00764BAE" w:rsidP="00240401">
      <w:pPr>
        <w:tabs>
          <w:tab w:val="left" w:pos="0"/>
        </w:tabs>
        <w:autoSpaceDE w:val="0"/>
        <w:autoSpaceDN w:val="0"/>
        <w:adjustRightInd w:val="0"/>
        <w:jc w:val="center"/>
        <w:rPr>
          <w:rFonts w:ascii="Arial Narrow" w:hAnsi="Arial Narrow"/>
          <w:noProof/>
        </w:rPr>
      </w:pPr>
      <w:r w:rsidRPr="001F55F6">
        <w:rPr>
          <w:rFonts w:ascii="Arial Narrow" w:hAnsi="Arial Narrow"/>
          <w:noProof/>
        </w:rPr>
        <w:drawing>
          <wp:inline distT="0" distB="0" distL="0" distR="0" wp14:anchorId="7C30B0D8" wp14:editId="77FBD061">
            <wp:extent cx="4235501" cy="1233419"/>
            <wp:effectExtent l="0" t="0" r="9525" b="0"/>
            <wp:docPr id="11"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pic:cNvPicPr>
                      <a:picLocks noChangeAspect="1" noChangeArrowheads="1"/>
                    </pic:cNvPicPr>
                  </pic:nvPicPr>
                  <pic:blipFill>
                    <a:blip r:embed="rId9">
                      <a:extLst>
                        <a:ext uri="{28A0092B-C50C-407E-A947-70E740481C1C}">
                          <a14:useLocalDpi xmlns:a14="http://schemas.microsoft.com/office/drawing/2010/main" val="0"/>
                        </a:ext>
                      </a:extLst>
                    </a:blip>
                    <a:srcRect r="806" b="11746"/>
                    <a:stretch>
                      <a:fillRect/>
                    </a:stretch>
                  </pic:blipFill>
                  <pic:spPr bwMode="auto">
                    <a:xfrm>
                      <a:off x="0" y="0"/>
                      <a:ext cx="4235501" cy="1233419"/>
                    </a:xfrm>
                    <a:prstGeom prst="rect">
                      <a:avLst/>
                    </a:prstGeom>
                    <a:noFill/>
                    <a:ln>
                      <a:noFill/>
                    </a:ln>
                  </pic:spPr>
                </pic:pic>
              </a:graphicData>
            </a:graphic>
          </wp:inline>
        </w:drawing>
      </w:r>
    </w:p>
    <w:p w14:paraId="25711A28" w14:textId="21597286" w:rsidR="00BA2439" w:rsidRDefault="00BA2439" w:rsidP="00BA2439">
      <w:pPr>
        <w:ind w:right="-1"/>
        <w:jc w:val="center"/>
        <w:rPr>
          <w:noProof/>
        </w:rPr>
      </w:pPr>
      <w:r>
        <w:rPr>
          <w:noProof/>
        </w:rPr>
        <w:t>Fonte: E</w:t>
      </w:r>
      <w:r w:rsidRPr="007C226A">
        <w:rPr>
          <w:noProof/>
        </w:rPr>
        <w:t>laborad</w:t>
      </w:r>
      <w:r w:rsidR="0052575F">
        <w:rPr>
          <w:noProof/>
        </w:rPr>
        <w:t>a</w:t>
      </w:r>
      <w:r w:rsidRPr="007C226A">
        <w:rPr>
          <w:noProof/>
        </w:rPr>
        <w:t xml:space="preserve"> pelo autor</w:t>
      </w:r>
      <w:r>
        <w:rPr>
          <w:noProof/>
        </w:rPr>
        <w:t xml:space="preserve"> (2022)</w:t>
      </w:r>
    </w:p>
    <w:p w14:paraId="0D0C1CC7" w14:textId="77777777" w:rsidR="00240401" w:rsidRPr="00240401" w:rsidRDefault="00240401" w:rsidP="00BA2439">
      <w:pPr>
        <w:tabs>
          <w:tab w:val="left" w:pos="0"/>
        </w:tabs>
        <w:autoSpaceDE w:val="0"/>
        <w:autoSpaceDN w:val="0"/>
        <w:adjustRightInd w:val="0"/>
        <w:rPr>
          <w:rFonts w:ascii="Arial Narrow" w:hAnsi="Arial Narrow"/>
          <w:noProof/>
        </w:rPr>
      </w:pPr>
    </w:p>
    <w:p w14:paraId="5FF83CAA" w14:textId="24770757" w:rsidR="00CA3EB1" w:rsidRDefault="009101C1" w:rsidP="00CA3EB1">
      <w:pPr>
        <w:ind w:firstLine="709"/>
        <w:jc w:val="both"/>
        <w:rPr>
          <w:sz w:val="22"/>
          <w:szCs w:val="22"/>
        </w:rPr>
      </w:pPr>
      <w:r w:rsidRPr="009101C1">
        <w:rPr>
          <w:sz w:val="22"/>
          <w:szCs w:val="22"/>
        </w:rPr>
        <w:t xml:space="preserve">Com base na análise dos dados, propôs-se desativar os quatro </w:t>
      </w:r>
      <w:proofErr w:type="spellStart"/>
      <w:r w:rsidRPr="009101C1">
        <w:rPr>
          <w:sz w:val="22"/>
          <w:szCs w:val="22"/>
        </w:rPr>
        <w:t>chillers</w:t>
      </w:r>
      <w:proofErr w:type="spellEnd"/>
      <w:r w:rsidRPr="009101C1">
        <w:rPr>
          <w:sz w:val="22"/>
          <w:szCs w:val="22"/>
        </w:rPr>
        <w:t xml:space="preserve"> durante o horário de pico, quando a tarifa se torna mais custosa. Em contrapartida, suger</w:t>
      </w:r>
      <w:r w:rsidR="00B64888">
        <w:rPr>
          <w:sz w:val="22"/>
          <w:szCs w:val="22"/>
        </w:rPr>
        <w:t>iu</w:t>
      </w:r>
      <w:r w:rsidRPr="009101C1">
        <w:rPr>
          <w:sz w:val="22"/>
          <w:szCs w:val="22"/>
        </w:rPr>
        <w:t xml:space="preserve">-se ligar os </w:t>
      </w:r>
      <w:proofErr w:type="spellStart"/>
      <w:r w:rsidRPr="009101C1">
        <w:rPr>
          <w:sz w:val="22"/>
          <w:szCs w:val="22"/>
        </w:rPr>
        <w:t>chillers</w:t>
      </w:r>
      <w:proofErr w:type="spellEnd"/>
      <w:r w:rsidRPr="009101C1">
        <w:rPr>
          <w:sz w:val="22"/>
          <w:szCs w:val="22"/>
        </w:rPr>
        <w:t xml:space="preserve"> a partir das 7h para atender às necessidades das clínicas, bem como após o encerramento do expediente, visando abastecer os tanques com água gelada</w:t>
      </w:r>
      <w:r w:rsidR="00EE0851">
        <w:rPr>
          <w:sz w:val="22"/>
          <w:szCs w:val="22"/>
        </w:rPr>
        <w:t xml:space="preserve"> e </w:t>
      </w:r>
      <w:r w:rsidRPr="009101C1">
        <w:rPr>
          <w:sz w:val="22"/>
          <w:szCs w:val="22"/>
        </w:rPr>
        <w:t xml:space="preserve">em conjunto com os </w:t>
      </w:r>
      <w:proofErr w:type="spellStart"/>
      <w:r w:rsidRPr="009101C1">
        <w:rPr>
          <w:sz w:val="22"/>
          <w:szCs w:val="22"/>
        </w:rPr>
        <w:t>fancoils</w:t>
      </w:r>
      <w:proofErr w:type="spellEnd"/>
      <w:r w:rsidRPr="009101C1">
        <w:rPr>
          <w:sz w:val="22"/>
          <w:szCs w:val="22"/>
        </w:rPr>
        <w:t>, a refrigeração necessária aos restaurantes até as 00h.</w:t>
      </w:r>
      <w:r w:rsidR="007247D0">
        <w:rPr>
          <w:sz w:val="22"/>
          <w:szCs w:val="22"/>
        </w:rPr>
        <w:t xml:space="preserve"> </w:t>
      </w:r>
      <w:r w:rsidR="007247D0" w:rsidRPr="007247D0">
        <w:rPr>
          <w:sz w:val="22"/>
          <w:szCs w:val="22"/>
        </w:rPr>
        <w:t>A figura 4 retrata a modificação no horário de funcionamento da CAG.</w:t>
      </w:r>
    </w:p>
    <w:p w14:paraId="00A3F8F8" w14:textId="77777777" w:rsidR="007247D0" w:rsidRDefault="007247D0" w:rsidP="00CA3EB1">
      <w:pPr>
        <w:ind w:firstLine="709"/>
        <w:jc w:val="both"/>
        <w:rPr>
          <w:sz w:val="22"/>
          <w:szCs w:val="22"/>
        </w:rPr>
      </w:pPr>
    </w:p>
    <w:p w14:paraId="513C2418" w14:textId="1D746510" w:rsidR="008923A9" w:rsidRPr="00CA3EB1" w:rsidRDefault="008923A9" w:rsidP="008923A9">
      <w:pPr>
        <w:rPr>
          <w:rFonts w:ascii="Arial Narrow" w:hAnsi="Arial Narrow"/>
          <w:iCs/>
          <w:sz w:val="22"/>
          <w:szCs w:val="22"/>
        </w:rPr>
      </w:pPr>
      <w:r w:rsidRPr="00F97443">
        <w:rPr>
          <w:sz w:val="22"/>
          <w:szCs w:val="22"/>
        </w:rPr>
        <w:t xml:space="preserve">Figura </w:t>
      </w:r>
      <w:r w:rsidR="001D24D2">
        <w:rPr>
          <w:sz w:val="22"/>
          <w:szCs w:val="22"/>
        </w:rPr>
        <w:t>4</w:t>
      </w:r>
      <w:r w:rsidRPr="00F97443">
        <w:rPr>
          <w:sz w:val="22"/>
          <w:szCs w:val="22"/>
        </w:rPr>
        <w:t xml:space="preserve">. </w:t>
      </w:r>
      <w:r>
        <w:rPr>
          <w:sz w:val="22"/>
          <w:szCs w:val="22"/>
        </w:rPr>
        <w:t xml:space="preserve"> </w:t>
      </w:r>
      <w:r w:rsidR="00CA3EB1" w:rsidRPr="00CA3EB1">
        <w:rPr>
          <w:sz w:val="22"/>
          <w:szCs w:val="22"/>
        </w:rPr>
        <w:t>Programação de horário da CAG sugerida, após estudo.</w:t>
      </w:r>
    </w:p>
    <w:p w14:paraId="0B417A7F" w14:textId="253CEF13" w:rsidR="008923A9" w:rsidRDefault="00764BAE" w:rsidP="008923A9">
      <w:pPr>
        <w:ind w:right="-1"/>
        <w:jc w:val="center"/>
        <w:rPr>
          <w:noProof/>
        </w:rPr>
      </w:pPr>
      <w:r w:rsidRPr="00466572">
        <w:rPr>
          <w:noProof/>
        </w:rPr>
        <w:drawing>
          <wp:inline distT="0" distB="0" distL="0" distR="0" wp14:anchorId="72FD3977" wp14:editId="4029B119">
            <wp:extent cx="3861405" cy="2377440"/>
            <wp:effectExtent l="0" t="0" r="6350" b="3810"/>
            <wp:docPr id="12"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61405" cy="2377440"/>
                    </a:xfrm>
                    <a:prstGeom prst="rect">
                      <a:avLst/>
                    </a:prstGeom>
                    <a:noFill/>
                    <a:ln>
                      <a:noFill/>
                    </a:ln>
                  </pic:spPr>
                </pic:pic>
              </a:graphicData>
            </a:graphic>
          </wp:inline>
        </w:drawing>
      </w:r>
    </w:p>
    <w:p w14:paraId="1295169D" w14:textId="7F8B54D8" w:rsidR="00BA2439" w:rsidRDefault="00BA2439" w:rsidP="00BA2439">
      <w:pPr>
        <w:ind w:right="-1"/>
        <w:jc w:val="center"/>
        <w:rPr>
          <w:noProof/>
        </w:rPr>
      </w:pPr>
      <w:r>
        <w:rPr>
          <w:noProof/>
        </w:rPr>
        <w:t>Fonte: E</w:t>
      </w:r>
      <w:r w:rsidRPr="007C226A">
        <w:rPr>
          <w:noProof/>
        </w:rPr>
        <w:t>laborad</w:t>
      </w:r>
      <w:r w:rsidR="0052575F">
        <w:rPr>
          <w:noProof/>
        </w:rPr>
        <w:t>a</w:t>
      </w:r>
      <w:r w:rsidRPr="007C226A">
        <w:rPr>
          <w:noProof/>
        </w:rPr>
        <w:t xml:space="preserve"> pelo autor</w:t>
      </w:r>
      <w:r>
        <w:rPr>
          <w:noProof/>
        </w:rPr>
        <w:t xml:space="preserve"> (2022)</w:t>
      </w:r>
    </w:p>
    <w:p w14:paraId="5C2856C1" w14:textId="77777777" w:rsidR="00BA2439" w:rsidRDefault="00BA2439" w:rsidP="008923A9">
      <w:pPr>
        <w:ind w:right="-1"/>
        <w:jc w:val="center"/>
        <w:rPr>
          <w:noProof/>
        </w:rPr>
      </w:pPr>
    </w:p>
    <w:p w14:paraId="62072DC1" w14:textId="12C2835D" w:rsidR="002372A8" w:rsidRDefault="00C350B6" w:rsidP="00CA3EB1">
      <w:pPr>
        <w:tabs>
          <w:tab w:val="left" w:pos="0"/>
          <w:tab w:val="left" w:pos="3869"/>
        </w:tabs>
        <w:autoSpaceDE w:val="0"/>
        <w:autoSpaceDN w:val="0"/>
        <w:adjustRightInd w:val="0"/>
        <w:jc w:val="both"/>
        <w:rPr>
          <w:b/>
          <w:sz w:val="22"/>
          <w:szCs w:val="22"/>
        </w:rPr>
      </w:pPr>
      <w:r w:rsidRPr="00437A35">
        <w:rPr>
          <w:b/>
          <w:sz w:val="22"/>
          <w:szCs w:val="22"/>
        </w:rPr>
        <w:lastRenderedPageBreak/>
        <w:t>RESULTADOS E DISCUSSÃO</w:t>
      </w:r>
    </w:p>
    <w:p w14:paraId="487323BF" w14:textId="07462F7E" w:rsidR="00C350B6" w:rsidRPr="002372A8" w:rsidRDefault="002372A8" w:rsidP="002372A8">
      <w:pPr>
        <w:tabs>
          <w:tab w:val="left" w:pos="0"/>
        </w:tabs>
        <w:autoSpaceDE w:val="0"/>
        <w:autoSpaceDN w:val="0"/>
        <w:adjustRightInd w:val="0"/>
        <w:jc w:val="both"/>
        <w:rPr>
          <w:sz w:val="22"/>
          <w:szCs w:val="22"/>
        </w:rPr>
      </w:pPr>
      <w:r>
        <w:rPr>
          <w:sz w:val="22"/>
          <w:szCs w:val="22"/>
        </w:rPr>
        <w:tab/>
      </w:r>
      <w:r w:rsidR="007247D0" w:rsidRPr="007247D0">
        <w:rPr>
          <w:sz w:val="22"/>
          <w:szCs w:val="22"/>
        </w:rPr>
        <w:t>Durante um período de 21 dias, registrou-se essa nova configuração e coletaram-se dados para comparar a economia que seria refletida na fatura de energia. Nas figuras 5 e 6, são exibidas as amostras coletadas após a implementação das alterações propostas.</w:t>
      </w:r>
      <w:r w:rsidR="00CA3EB1" w:rsidRPr="002372A8">
        <w:rPr>
          <w:sz w:val="22"/>
          <w:szCs w:val="22"/>
        </w:rPr>
        <w:tab/>
      </w:r>
    </w:p>
    <w:p w14:paraId="042F400A" w14:textId="7E653FF8" w:rsidR="006B382B" w:rsidRPr="002372A8" w:rsidRDefault="00A53F90" w:rsidP="00A53F90">
      <w:pPr>
        <w:tabs>
          <w:tab w:val="left" w:pos="2392"/>
        </w:tabs>
        <w:rPr>
          <w:sz w:val="22"/>
          <w:szCs w:val="22"/>
        </w:rPr>
      </w:pPr>
      <w:r>
        <w:rPr>
          <w:sz w:val="22"/>
          <w:szCs w:val="22"/>
        </w:rPr>
        <w:tab/>
      </w:r>
    </w:p>
    <w:p w14:paraId="23B87775" w14:textId="00D1CFF4" w:rsidR="002372A8" w:rsidRPr="002372A8" w:rsidRDefault="002372A8" w:rsidP="002372A8">
      <w:pPr>
        <w:jc w:val="both"/>
        <w:rPr>
          <w:rFonts w:ascii="Arial Narrow" w:hAnsi="Arial Narrow"/>
          <w:sz w:val="22"/>
          <w:szCs w:val="22"/>
        </w:rPr>
      </w:pPr>
      <w:r w:rsidRPr="002372A8">
        <w:rPr>
          <w:sz w:val="22"/>
          <w:szCs w:val="22"/>
        </w:rPr>
        <w:t xml:space="preserve">Figura </w:t>
      </w:r>
      <w:r w:rsidR="001D24D2">
        <w:rPr>
          <w:sz w:val="22"/>
          <w:szCs w:val="22"/>
        </w:rPr>
        <w:t>5</w:t>
      </w:r>
      <w:r w:rsidRPr="002372A8">
        <w:rPr>
          <w:sz w:val="22"/>
          <w:szCs w:val="22"/>
        </w:rPr>
        <w:t>.  Curva de carga do empreendimento</w:t>
      </w:r>
      <w:r w:rsidR="006A2560">
        <w:rPr>
          <w:sz w:val="22"/>
          <w:szCs w:val="22"/>
        </w:rPr>
        <w:t xml:space="preserve"> – Início da implementação.</w:t>
      </w:r>
      <w:r w:rsidR="00502E45">
        <w:rPr>
          <w:sz w:val="22"/>
          <w:szCs w:val="22"/>
        </w:rPr>
        <w:t xml:space="preserve"> </w:t>
      </w:r>
    </w:p>
    <w:p w14:paraId="76CB8357" w14:textId="46524717" w:rsidR="002372A8" w:rsidRDefault="00764BAE" w:rsidP="002372A8">
      <w:pPr>
        <w:ind w:right="-1"/>
        <w:jc w:val="center"/>
        <w:rPr>
          <w:noProof/>
        </w:rPr>
      </w:pPr>
      <w:r w:rsidRPr="00466572">
        <w:rPr>
          <w:noProof/>
        </w:rPr>
        <w:drawing>
          <wp:inline distT="0" distB="0" distL="0" distR="0" wp14:anchorId="779272C1" wp14:editId="1104F71D">
            <wp:extent cx="3990109" cy="1828800"/>
            <wp:effectExtent l="0" t="0" r="0" b="0"/>
            <wp:docPr id="13"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11" cstate="print">
                      <a:extLst>
                        <a:ext uri="{28A0092B-C50C-407E-A947-70E740481C1C}">
                          <a14:useLocalDpi xmlns:a14="http://schemas.microsoft.com/office/drawing/2010/main" val="0"/>
                        </a:ext>
                      </a:extLst>
                    </a:blip>
                    <a:srcRect l="18739" t="33864"/>
                    <a:stretch>
                      <a:fillRect/>
                    </a:stretch>
                  </pic:blipFill>
                  <pic:spPr bwMode="auto">
                    <a:xfrm>
                      <a:off x="0" y="0"/>
                      <a:ext cx="4003299" cy="1834846"/>
                    </a:xfrm>
                    <a:prstGeom prst="rect">
                      <a:avLst/>
                    </a:prstGeom>
                    <a:noFill/>
                    <a:ln>
                      <a:noFill/>
                    </a:ln>
                  </pic:spPr>
                </pic:pic>
              </a:graphicData>
            </a:graphic>
          </wp:inline>
        </w:drawing>
      </w:r>
      <w:r w:rsidR="00A9161D">
        <w:rPr>
          <w:noProof/>
        </w:rPr>
        <w:br/>
        <w:t>Fonte: E</w:t>
      </w:r>
      <w:r w:rsidR="00A9161D" w:rsidRPr="007C226A">
        <w:rPr>
          <w:noProof/>
        </w:rPr>
        <w:t>laborad</w:t>
      </w:r>
      <w:r w:rsidR="00977BAA">
        <w:rPr>
          <w:noProof/>
        </w:rPr>
        <w:t>a</w:t>
      </w:r>
      <w:r w:rsidR="00A9161D" w:rsidRPr="007C226A">
        <w:rPr>
          <w:noProof/>
        </w:rPr>
        <w:t xml:space="preserve"> pelo autor</w:t>
      </w:r>
      <w:r w:rsidR="00A9161D">
        <w:rPr>
          <w:noProof/>
        </w:rPr>
        <w:t xml:space="preserve"> (2022)</w:t>
      </w:r>
      <w:r w:rsidR="00A9161D">
        <w:rPr>
          <w:noProof/>
        </w:rPr>
        <w:br/>
      </w:r>
    </w:p>
    <w:p w14:paraId="787A9783" w14:textId="0C237D90" w:rsidR="002372A8" w:rsidRPr="002372A8" w:rsidRDefault="002372A8" w:rsidP="006A2560">
      <w:pPr>
        <w:tabs>
          <w:tab w:val="left" w:pos="5702"/>
        </w:tabs>
        <w:jc w:val="both"/>
        <w:rPr>
          <w:rFonts w:ascii="Arial Narrow" w:hAnsi="Arial Narrow"/>
          <w:sz w:val="22"/>
          <w:szCs w:val="22"/>
        </w:rPr>
      </w:pPr>
      <w:r w:rsidRPr="002372A8">
        <w:rPr>
          <w:sz w:val="22"/>
          <w:szCs w:val="22"/>
        </w:rPr>
        <w:t xml:space="preserve">Figura </w:t>
      </w:r>
      <w:r w:rsidR="001D24D2">
        <w:rPr>
          <w:sz w:val="22"/>
          <w:szCs w:val="22"/>
        </w:rPr>
        <w:t>6</w:t>
      </w:r>
      <w:r w:rsidRPr="002372A8">
        <w:rPr>
          <w:sz w:val="22"/>
          <w:szCs w:val="22"/>
        </w:rPr>
        <w:t>.  Curva de carga do empreendimento</w:t>
      </w:r>
      <w:r w:rsidR="006A2560">
        <w:rPr>
          <w:sz w:val="22"/>
          <w:szCs w:val="22"/>
        </w:rPr>
        <w:t xml:space="preserve"> – Decorridos 21 dias da implementação.</w:t>
      </w:r>
    </w:p>
    <w:p w14:paraId="121386FC" w14:textId="4802E17B" w:rsidR="002372A8" w:rsidRDefault="00764BAE" w:rsidP="002372A8">
      <w:pPr>
        <w:ind w:right="-1"/>
        <w:jc w:val="center"/>
        <w:rPr>
          <w:noProof/>
        </w:rPr>
      </w:pPr>
      <w:r w:rsidRPr="00466572">
        <w:rPr>
          <w:noProof/>
        </w:rPr>
        <w:drawing>
          <wp:inline distT="0" distB="0" distL="0" distR="0" wp14:anchorId="48493EF0" wp14:editId="7B1D1CB6">
            <wp:extent cx="4005496" cy="1820849"/>
            <wp:effectExtent l="0" t="0" r="0" b="8255"/>
            <wp:docPr id="14"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
                    <pic:cNvPicPr>
                      <a:picLocks noChangeAspect="1" noChangeArrowheads="1"/>
                    </pic:cNvPicPr>
                  </pic:nvPicPr>
                  <pic:blipFill>
                    <a:blip r:embed="rId12" cstate="print">
                      <a:extLst>
                        <a:ext uri="{28A0092B-C50C-407E-A947-70E740481C1C}">
                          <a14:useLocalDpi xmlns:a14="http://schemas.microsoft.com/office/drawing/2010/main" val="0"/>
                        </a:ext>
                      </a:extLst>
                    </a:blip>
                    <a:srcRect l="19347" t="34668"/>
                    <a:stretch>
                      <a:fillRect/>
                    </a:stretch>
                  </pic:blipFill>
                  <pic:spPr bwMode="auto">
                    <a:xfrm>
                      <a:off x="0" y="0"/>
                      <a:ext cx="4031784" cy="1832799"/>
                    </a:xfrm>
                    <a:prstGeom prst="rect">
                      <a:avLst/>
                    </a:prstGeom>
                    <a:noFill/>
                    <a:ln>
                      <a:noFill/>
                    </a:ln>
                  </pic:spPr>
                </pic:pic>
              </a:graphicData>
            </a:graphic>
          </wp:inline>
        </w:drawing>
      </w:r>
    </w:p>
    <w:p w14:paraId="122E37E8" w14:textId="5D7E15EB" w:rsidR="001A4EDF" w:rsidRDefault="00A9161D" w:rsidP="00A9161D">
      <w:pPr>
        <w:ind w:right="-1"/>
        <w:jc w:val="center"/>
        <w:rPr>
          <w:noProof/>
        </w:rPr>
      </w:pPr>
      <w:r>
        <w:rPr>
          <w:noProof/>
        </w:rPr>
        <w:t>Fonte: E</w:t>
      </w:r>
      <w:r w:rsidRPr="007C226A">
        <w:rPr>
          <w:noProof/>
        </w:rPr>
        <w:t>laborad</w:t>
      </w:r>
      <w:r w:rsidR="00977BAA">
        <w:rPr>
          <w:noProof/>
        </w:rPr>
        <w:t>a</w:t>
      </w:r>
      <w:r w:rsidRPr="007C226A">
        <w:rPr>
          <w:noProof/>
        </w:rPr>
        <w:t xml:space="preserve"> pelo autor</w:t>
      </w:r>
      <w:r>
        <w:rPr>
          <w:noProof/>
        </w:rPr>
        <w:t xml:space="preserve"> (2022)</w:t>
      </w:r>
    </w:p>
    <w:p w14:paraId="4DBEC5EB" w14:textId="77777777" w:rsidR="00A9161D" w:rsidRDefault="00A9161D" w:rsidP="00A9161D">
      <w:pPr>
        <w:ind w:right="-1"/>
        <w:jc w:val="center"/>
        <w:rPr>
          <w:noProof/>
        </w:rPr>
      </w:pPr>
    </w:p>
    <w:p w14:paraId="6AEBEDCF" w14:textId="498AEDCF" w:rsidR="004C23F4" w:rsidRDefault="0093002D" w:rsidP="0093002D">
      <w:pPr>
        <w:tabs>
          <w:tab w:val="left" w:pos="0"/>
        </w:tabs>
        <w:autoSpaceDE w:val="0"/>
        <w:autoSpaceDN w:val="0"/>
        <w:adjustRightInd w:val="0"/>
        <w:jc w:val="both"/>
        <w:rPr>
          <w:sz w:val="22"/>
          <w:szCs w:val="22"/>
        </w:rPr>
      </w:pPr>
      <w:r>
        <w:rPr>
          <w:sz w:val="22"/>
          <w:szCs w:val="22"/>
        </w:rPr>
        <w:tab/>
      </w:r>
      <w:r w:rsidR="004C23F4" w:rsidRPr="004C23F4">
        <w:rPr>
          <w:sz w:val="22"/>
          <w:szCs w:val="22"/>
        </w:rPr>
        <w:t xml:space="preserve">Ao comparar a curva de carga da Figura </w:t>
      </w:r>
      <w:r w:rsidR="004C23F4">
        <w:rPr>
          <w:sz w:val="22"/>
          <w:szCs w:val="22"/>
        </w:rPr>
        <w:t>2</w:t>
      </w:r>
      <w:r w:rsidR="004C23F4" w:rsidRPr="004C23F4">
        <w:rPr>
          <w:sz w:val="22"/>
          <w:szCs w:val="22"/>
        </w:rPr>
        <w:t xml:space="preserve"> com a Figura </w:t>
      </w:r>
      <w:r w:rsidR="004C23F4">
        <w:rPr>
          <w:sz w:val="22"/>
          <w:szCs w:val="22"/>
        </w:rPr>
        <w:t>6</w:t>
      </w:r>
      <w:r w:rsidR="004C23F4" w:rsidRPr="004C23F4">
        <w:rPr>
          <w:sz w:val="22"/>
          <w:szCs w:val="22"/>
        </w:rPr>
        <w:t>, foi observada uma redução na demanda durante os horários de pico após a implementação das melhorias.</w:t>
      </w:r>
    </w:p>
    <w:p w14:paraId="4C6924FB" w14:textId="77777777" w:rsidR="005E0C1B" w:rsidRDefault="008D157F" w:rsidP="005E0C1B">
      <w:pPr>
        <w:tabs>
          <w:tab w:val="left" w:pos="0"/>
        </w:tabs>
        <w:autoSpaceDE w:val="0"/>
        <w:autoSpaceDN w:val="0"/>
        <w:adjustRightInd w:val="0"/>
        <w:jc w:val="both"/>
        <w:rPr>
          <w:sz w:val="22"/>
          <w:szCs w:val="22"/>
        </w:rPr>
      </w:pPr>
      <w:r>
        <w:rPr>
          <w:sz w:val="22"/>
          <w:szCs w:val="22"/>
        </w:rPr>
        <w:tab/>
      </w:r>
      <w:r w:rsidRPr="008D157F">
        <w:rPr>
          <w:sz w:val="22"/>
          <w:szCs w:val="22"/>
        </w:rPr>
        <w:t>A energia elétrica em uma localidade apresenta variações significativas ao longo do dia e dos meses. Para mitigar o pico de demanda durante certas horas, a ANEEL</w:t>
      </w:r>
      <w:r w:rsidRPr="0093002D">
        <w:rPr>
          <w:sz w:val="22"/>
          <w:szCs w:val="22"/>
        </w:rPr>
        <w:t xml:space="preserve"> (Agência Nacional de Energia Elétrica) </w:t>
      </w:r>
      <w:r w:rsidRPr="008D157F">
        <w:rPr>
          <w:sz w:val="22"/>
          <w:szCs w:val="22"/>
        </w:rPr>
        <w:t xml:space="preserve">exige que as concessionárias adotem uma política tarifária diferenciada. </w:t>
      </w:r>
      <w:r w:rsidR="005E0C1B" w:rsidRPr="005E0C1B">
        <w:rPr>
          <w:sz w:val="22"/>
          <w:szCs w:val="22"/>
        </w:rPr>
        <w:t>No caso da Neoenergia, a concessionária de energia em Pernambuco, é estabelecido um valor mais elevado para os consumidores da categoria A3 Livre - Azul, à qual o empreendimento em questão pertence, durante o período compreendido entre 17h30min e 20h30min. Essas tarifas são ilustradas na figura 7.</w:t>
      </w:r>
    </w:p>
    <w:p w14:paraId="782F4907" w14:textId="48284844" w:rsidR="0093002D" w:rsidRDefault="001A4EDF" w:rsidP="005E0C1B">
      <w:pPr>
        <w:tabs>
          <w:tab w:val="left" w:pos="0"/>
        </w:tabs>
        <w:autoSpaceDE w:val="0"/>
        <w:autoSpaceDN w:val="0"/>
        <w:adjustRightInd w:val="0"/>
        <w:jc w:val="both"/>
        <w:rPr>
          <w:sz w:val="22"/>
          <w:szCs w:val="22"/>
        </w:rPr>
      </w:pPr>
      <w:r>
        <w:rPr>
          <w:sz w:val="22"/>
          <w:szCs w:val="22"/>
        </w:rPr>
        <w:tab/>
      </w:r>
    </w:p>
    <w:p w14:paraId="491197D0" w14:textId="7150C333" w:rsidR="001A4EDF" w:rsidRPr="001A4EDF" w:rsidRDefault="001A4EDF" w:rsidP="001A4EDF">
      <w:pPr>
        <w:jc w:val="both"/>
        <w:rPr>
          <w:rFonts w:ascii="Arial Narrow" w:hAnsi="Arial Narrow"/>
          <w:sz w:val="22"/>
          <w:szCs w:val="22"/>
        </w:rPr>
      </w:pPr>
      <w:r w:rsidRPr="002372A8">
        <w:rPr>
          <w:sz w:val="22"/>
          <w:szCs w:val="22"/>
        </w:rPr>
        <w:t xml:space="preserve">Figura </w:t>
      </w:r>
      <w:r w:rsidR="001D24D2">
        <w:rPr>
          <w:sz w:val="22"/>
          <w:szCs w:val="22"/>
        </w:rPr>
        <w:t>7</w:t>
      </w:r>
      <w:r w:rsidRPr="002372A8">
        <w:rPr>
          <w:sz w:val="22"/>
          <w:szCs w:val="22"/>
        </w:rPr>
        <w:t xml:space="preserve">.  </w:t>
      </w:r>
      <w:r w:rsidR="003F0DB5" w:rsidRPr="003F0DB5">
        <w:rPr>
          <w:sz w:val="22"/>
          <w:szCs w:val="22"/>
        </w:rPr>
        <w:t xml:space="preserve">Tarifas vigentes para consumidores do segmento </w:t>
      </w:r>
      <w:r w:rsidR="00E35505" w:rsidRPr="0093002D">
        <w:rPr>
          <w:sz w:val="22"/>
          <w:szCs w:val="22"/>
        </w:rPr>
        <w:t>A3 Livre</w:t>
      </w:r>
      <w:r w:rsidR="00E35505">
        <w:rPr>
          <w:sz w:val="22"/>
          <w:szCs w:val="22"/>
        </w:rPr>
        <w:t xml:space="preserve"> </w:t>
      </w:r>
      <w:r w:rsidR="00E35505" w:rsidRPr="0093002D">
        <w:rPr>
          <w:sz w:val="22"/>
          <w:szCs w:val="22"/>
        </w:rPr>
        <w:t>– Azul</w:t>
      </w:r>
      <w:r w:rsidR="00E35505">
        <w:rPr>
          <w:sz w:val="22"/>
          <w:szCs w:val="22"/>
        </w:rPr>
        <w:t>.</w:t>
      </w:r>
    </w:p>
    <w:p w14:paraId="42F9F395" w14:textId="049F7F0B" w:rsidR="0093002D" w:rsidRDefault="00764BAE" w:rsidP="00E35505">
      <w:pPr>
        <w:jc w:val="center"/>
        <w:rPr>
          <w:sz w:val="22"/>
          <w:szCs w:val="22"/>
        </w:rPr>
      </w:pPr>
      <w:r w:rsidRPr="00466572">
        <w:rPr>
          <w:noProof/>
        </w:rPr>
        <w:drawing>
          <wp:inline distT="0" distB="0" distL="0" distR="0" wp14:anchorId="3D005B86" wp14:editId="21000964">
            <wp:extent cx="3959749" cy="1016289"/>
            <wp:effectExtent l="0" t="0" r="3175" b="0"/>
            <wp:docPr id="15"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5"/>
                    <pic:cNvPicPr>
                      <a:picLocks noChangeAspect="1" noChangeArrowheads="1"/>
                    </pic:cNvPicPr>
                  </pic:nvPicPr>
                  <pic:blipFill>
                    <a:blip r:embed="rId13">
                      <a:extLst>
                        <a:ext uri="{28A0092B-C50C-407E-A947-70E740481C1C}">
                          <a14:useLocalDpi xmlns:a14="http://schemas.microsoft.com/office/drawing/2010/main" val="0"/>
                        </a:ext>
                      </a:extLst>
                    </a:blip>
                    <a:srcRect l="4802" t="40118" r="44154" b="36877"/>
                    <a:stretch>
                      <a:fillRect/>
                    </a:stretch>
                  </pic:blipFill>
                  <pic:spPr bwMode="auto">
                    <a:xfrm>
                      <a:off x="0" y="0"/>
                      <a:ext cx="4002733" cy="1027321"/>
                    </a:xfrm>
                    <a:prstGeom prst="rect">
                      <a:avLst/>
                    </a:prstGeom>
                    <a:noFill/>
                    <a:ln>
                      <a:noFill/>
                    </a:ln>
                  </pic:spPr>
                </pic:pic>
              </a:graphicData>
            </a:graphic>
          </wp:inline>
        </w:drawing>
      </w:r>
    </w:p>
    <w:p w14:paraId="20BC3796" w14:textId="2299DC78" w:rsidR="00A9063E" w:rsidRPr="0093002D" w:rsidRDefault="00A9161D" w:rsidP="005E0C1B">
      <w:pPr>
        <w:jc w:val="center"/>
        <w:rPr>
          <w:sz w:val="22"/>
          <w:szCs w:val="22"/>
        </w:rPr>
      </w:pPr>
      <w:r>
        <w:rPr>
          <w:noProof/>
        </w:rPr>
        <w:t>Fonte: E</w:t>
      </w:r>
      <w:r w:rsidRPr="007C226A">
        <w:rPr>
          <w:noProof/>
        </w:rPr>
        <w:t>laborad</w:t>
      </w:r>
      <w:r w:rsidR="00977BAA">
        <w:rPr>
          <w:noProof/>
        </w:rPr>
        <w:t>a</w:t>
      </w:r>
      <w:r w:rsidRPr="007C226A">
        <w:rPr>
          <w:noProof/>
        </w:rPr>
        <w:t xml:space="preserve"> pelo autor</w:t>
      </w:r>
      <w:r>
        <w:rPr>
          <w:noProof/>
        </w:rPr>
        <w:t xml:space="preserve"> (2022)</w:t>
      </w:r>
    </w:p>
    <w:p w14:paraId="32DB5EBF" w14:textId="24CE8407" w:rsidR="005E0C1B" w:rsidRDefault="001D24D2" w:rsidP="00A9063E">
      <w:pPr>
        <w:tabs>
          <w:tab w:val="left" w:pos="0"/>
        </w:tabs>
        <w:autoSpaceDE w:val="0"/>
        <w:autoSpaceDN w:val="0"/>
        <w:adjustRightInd w:val="0"/>
        <w:jc w:val="both"/>
        <w:rPr>
          <w:sz w:val="22"/>
          <w:szCs w:val="22"/>
        </w:rPr>
      </w:pPr>
      <w:r>
        <w:rPr>
          <w:sz w:val="22"/>
          <w:szCs w:val="22"/>
        </w:rPr>
        <w:lastRenderedPageBreak/>
        <w:tab/>
      </w:r>
      <w:r w:rsidR="005E0C1B" w:rsidRPr="005E0C1B">
        <w:rPr>
          <w:sz w:val="22"/>
          <w:szCs w:val="22"/>
        </w:rPr>
        <w:t>Para analisar a economia na fatura de energia, é importante considerar o custo de uso do sistema durante o horário de pico e fora dele. Nas tabelas 1 e 2, são analisadas as amostras anteriores e posteriores à mudança no horário de funcionamento da CAG, juntamente com os valores correspondentes da conta de energia.</w:t>
      </w:r>
    </w:p>
    <w:p w14:paraId="71944984" w14:textId="35AC6CEC" w:rsidR="00D64F6F" w:rsidRDefault="00F43612" w:rsidP="00A9063E">
      <w:pPr>
        <w:tabs>
          <w:tab w:val="left" w:pos="0"/>
        </w:tabs>
        <w:autoSpaceDE w:val="0"/>
        <w:autoSpaceDN w:val="0"/>
        <w:adjustRightInd w:val="0"/>
        <w:jc w:val="both"/>
        <w:rPr>
          <w:sz w:val="22"/>
          <w:szCs w:val="22"/>
        </w:rPr>
      </w:pPr>
      <w:r>
        <w:rPr>
          <w:sz w:val="22"/>
          <w:szCs w:val="22"/>
        </w:rPr>
        <w:tab/>
      </w:r>
    </w:p>
    <w:p w14:paraId="60D55240" w14:textId="191264CE" w:rsidR="00094C20" w:rsidRDefault="00094C20" w:rsidP="00094C20">
      <w:pPr>
        <w:pStyle w:val="p11"/>
        <w:tabs>
          <w:tab w:val="clear" w:pos="720"/>
        </w:tabs>
        <w:spacing w:line="240" w:lineRule="auto"/>
        <w:rPr>
          <w:sz w:val="22"/>
          <w:szCs w:val="22"/>
        </w:rPr>
      </w:pPr>
      <w:r w:rsidRPr="0037141B">
        <w:rPr>
          <w:sz w:val="22"/>
          <w:szCs w:val="22"/>
        </w:rPr>
        <w:t xml:space="preserve">Tabela 1. </w:t>
      </w:r>
      <w:r w:rsidR="003079EB">
        <w:rPr>
          <w:sz w:val="22"/>
          <w:szCs w:val="22"/>
        </w:rPr>
        <w:t>A</w:t>
      </w:r>
      <w:r>
        <w:rPr>
          <w:sz w:val="22"/>
          <w:szCs w:val="22"/>
        </w:rPr>
        <w:t>ntes da mudança do horário de funcionamento da CAG.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2269"/>
        <w:gridCol w:w="2267"/>
        <w:gridCol w:w="2267"/>
      </w:tblGrid>
      <w:tr w:rsidR="00094C20" w14:paraId="5F0813B1" w14:textId="77777777" w:rsidTr="00A9161D">
        <w:tc>
          <w:tcPr>
            <w:tcW w:w="2258" w:type="dxa"/>
            <w:shd w:val="clear" w:color="auto" w:fill="auto"/>
            <w:vAlign w:val="center"/>
          </w:tcPr>
          <w:p w14:paraId="72C1407B" w14:textId="77777777" w:rsidR="00094C20" w:rsidRDefault="00094C20" w:rsidP="00923239">
            <w:pPr>
              <w:jc w:val="center"/>
              <w:rPr>
                <w:sz w:val="22"/>
                <w:szCs w:val="22"/>
              </w:rPr>
            </w:pPr>
          </w:p>
        </w:tc>
        <w:tc>
          <w:tcPr>
            <w:tcW w:w="2269" w:type="dxa"/>
            <w:shd w:val="clear" w:color="auto" w:fill="auto"/>
            <w:vAlign w:val="center"/>
          </w:tcPr>
          <w:p w14:paraId="7AD3A9B6" w14:textId="77777777" w:rsidR="00094C20" w:rsidRDefault="00403E1E" w:rsidP="00923239">
            <w:pPr>
              <w:jc w:val="center"/>
              <w:rPr>
                <w:sz w:val="22"/>
                <w:szCs w:val="22"/>
              </w:rPr>
            </w:pPr>
            <w:r>
              <w:rPr>
                <w:b/>
                <w:bCs/>
                <w:color w:val="000000"/>
                <w:sz w:val="22"/>
                <w:szCs w:val="22"/>
              </w:rPr>
              <w:t>Valor</w:t>
            </w:r>
            <w:r w:rsidR="002729E1">
              <w:rPr>
                <w:b/>
                <w:bCs/>
                <w:color w:val="000000"/>
                <w:sz w:val="22"/>
                <w:szCs w:val="22"/>
              </w:rPr>
              <w:t xml:space="preserve"> da Tarifa</w:t>
            </w:r>
          </w:p>
        </w:tc>
        <w:tc>
          <w:tcPr>
            <w:tcW w:w="2267" w:type="dxa"/>
            <w:shd w:val="clear" w:color="auto" w:fill="auto"/>
            <w:vAlign w:val="center"/>
          </w:tcPr>
          <w:p w14:paraId="2522B536" w14:textId="77777777" w:rsidR="00094C20" w:rsidRDefault="00094C20" w:rsidP="00923239">
            <w:pPr>
              <w:jc w:val="center"/>
              <w:rPr>
                <w:sz w:val="22"/>
                <w:szCs w:val="22"/>
              </w:rPr>
            </w:pPr>
            <w:r>
              <w:rPr>
                <w:b/>
                <w:bCs/>
                <w:color w:val="000000"/>
                <w:sz w:val="22"/>
                <w:szCs w:val="22"/>
              </w:rPr>
              <w:t>Quantidade (kW)</w:t>
            </w:r>
          </w:p>
        </w:tc>
        <w:tc>
          <w:tcPr>
            <w:tcW w:w="2267" w:type="dxa"/>
            <w:shd w:val="clear" w:color="auto" w:fill="auto"/>
            <w:vAlign w:val="center"/>
          </w:tcPr>
          <w:p w14:paraId="3F8EA977" w14:textId="287B29CD" w:rsidR="00094C20" w:rsidRDefault="00403E1E" w:rsidP="00923239">
            <w:pPr>
              <w:jc w:val="center"/>
              <w:rPr>
                <w:sz w:val="22"/>
                <w:szCs w:val="22"/>
              </w:rPr>
            </w:pPr>
            <w:r>
              <w:rPr>
                <w:b/>
                <w:bCs/>
                <w:color w:val="000000"/>
                <w:sz w:val="22"/>
                <w:szCs w:val="22"/>
              </w:rPr>
              <w:t xml:space="preserve">Tarifa x Quantidade </w:t>
            </w:r>
          </w:p>
        </w:tc>
      </w:tr>
      <w:tr w:rsidR="00094C20" w14:paraId="12D07324" w14:textId="77777777" w:rsidTr="00A9161D">
        <w:tc>
          <w:tcPr>
            <w:tcW w:w="2258" w:type="dxa"/>
            <w:shd w:val="clear" w:color="auto" w:fill="auto"/>
            <w:vAlign w:val="center"/>
          </w:tcPr>
          <w:p w14:paraId="53E868DB" w14:textId="77777777" w:rsidR="00094C20" w:rsidRDefault="00094C20" w:rsidP="00923239">
            <w:pPr>
              <w:jc w:val="center"/>
              <w:rPr>
                <w:sz w:val="22"/>
                <w:szCs w:val="22"/>
              </w:rPr>
            </w:pPr>
            <w:r>
              <w:rPr>
                <w:b/>
                <w:bCs/>
                <w:color w:val="000000"/>
                <w:sz w:val="22"/>
                <w:szCs w:val="22"/>
              </w:rPr>
              <w:t>Demanda Fora Ponta</w:t>
            </w:r>
          </w:p>
        </w:tc>
        <w:tc>
          <w:tcPr>
            <w:tcW w:w="2269" w:type="dxa"/>
            <w:shd w:val="clear" w:color="auto" w:fill="auto"/>
            <w:vAlign w:val="center"/>
          </w:tcPr>
          <w:p w14:paraId="160B878E" w14:textId="77777777" w:rsidR="00094C20" w:rsidRDefault="00094C20" w:rsidP="00923239">
            <w:pPr>
              <w:jc w:val="center"/>
              <w:rPr>
                <w:sz w:val="22"/>
                <w:szCs w:val="22"/>
              </w:rPr>
            </w:pPr>
            <w:r>
              <w:rPr>
                <w:sz w:val="22"/>
                <w:szCs w:val="22"/>
              </w:rPr>
              <w:t>13,436373</w:t>
            </w:r>
          </w:p>
        </w:tc>
        <w:tc>
          <w:tcPr>
            <w:tcW w:w="2267" w:type="dxa"/>
            <w:shd w:val="clear" w:color="auto" w:fill="auto"/>
            <w:vAlign w:val="center"/>
          </w:tcPr>
          <w:p w14:paraId="535C1EF0" w14:textId="77777777" w:rsidR="00094C20" w:rsidRDefault="00094C20" w:rsidP="00923239">
            <w:pPr>
              <w:jc w:val="center"/>
              <w:rPr>
                <w:sz w:val="22"/>
                <w:szCs w:val="22"/>
              </w:rPr>
            </w:pPr>
            <w:r>
              <w:rPr>
                <w:sz w:val="22"/>
                <w:szCs w:val="22"/>
              </w:rPr>
              <w:t>3.513,60</w:t>
            </w:r>
          </w:p>
        </w:tc>
        <w:tc>
          <w:tcPr>
            <w:tcW w:w="2267" w:type="dxa"/>
            <w:shd w:val="clear" w:color="auto" w:fill="auto"/>
            <w:vAlign w:val="center"/>
          </w:tcPr>
          <w:p w14:paraId="101BBA8D" w14:textId="77777777" w:rsidR="00094C20" w:rsidRDefault="00094C20" w:rsidP="00923239">
            <w:pPr>
              <w:jc w:val="center"/>
              <w:rPr>
                <w:sz w:val="22"/>
                <w:szCs w:val="22"/>
              </w:rPr>
            </w:pPr>
            <w:r>
              <w:rPr>
                <w:sz w:val="22"/>
                <w:szCs w:val="22"/>
              </w:rPr>
              <w:t>47.210,04</w:t>
            </w:r>
          </w:p>
        </w:tc>
      </w:tr>
      <w:tr w:rsidR="00094C20" w14:paraId="06AFDF31" w14:textId="77777777" w:rsidTr="00A9161D">
        <w:tc>
          <w:tcPr>
            <w:tcW w:w="2258" w:type="dxa"/>
            <w:shd w:val="clear" w:color="auto" w:fill="auto"/>
            <w:vAlign w:val="center"/>
          </w:tcPr>
          <w:p w14:paraId="61DDDD3B" w14:textId="77777777" w:rsidR="00094C20" w:rsidRDefault="00094C20" w:rsidP="00923239">
            <w:pPr>
              <w:jc w:val="center"/>
              <w:rPr>
                <w:sz w:val="22"/>
                <w:szCs w:val="22"/>
              </w:rPr>
            </w:pPr>
            <w:r>
              <w:rPr>
                <w:b/>
                <w:bCs/>
                <w:color w:val="000000"/>
                <w:sz w:val="22"/>
                <w:szCs w:val="22"/>
              </w:rPr>
              <w:t>Demanda na Ponta</w:t>
            </w:r>
          </w:p>
        </w:tc>
        <w:tc>
          <w:tcPr>
            <w:tcW w:w="2269" w:type="dxa"/>
            <w:shd w:val="clear" w:color="auto" w:fill="auto"/>
            <w:vAlign w:val="center"/>
          </w:tcPr>
          <w:p w14:paraId="177D0045" w14:textId="117F0C90" w:rsidR="00094C20" w:rsidRDefault="00094C20" w:rsidP="00923239">
            <w:pPr>
              <w:jc w:val="center"/>
              <w:rPr>
                <w:sz w:val="22"/>
                <w:szCs w:val="22"/>
              </w:rPr>
            </w:pPr>
            <w:r>
              <w:rPr>
                <w:sz w:val="22"/>
                <w:szCs w:val="22"/>
              </w:rPr>
              <w:t>21</w:t>
            </w:r>
            <w:r w:rsidR="00191A7C">
              <w:rPr>
                <w:sz w:val="22"/>
                <w:szCs w:val="22"/>
              </w:rPr>
              <w:t>,</w:t>
            </w:r>
            <w:r>
              <w:rPr>
                <w:sz w:val="22"/>
                <w:szCs w:val="22"/>
              </w:rPr>
              <w:t>39103554</w:t>
            </w:r>
          </w:p>
        </w:tc>
        <w:tc>
          <w:tcPr>
            <w:tcW w:w="2267" w:type="dxa"/>
            <w:shd w:val="clear" w:color="auto" w:fill="auto"/>
            <w:vAlign w:val="center"/>
          </w:tcPr>
          <w:p w14:paraId="318016C2" w14:textId="77777777" w:rsidR="00094C20" w:rsidRDefault="00094C20" w:rsidP="00923239">
            <w:pPr>
              <w:jc w:val="center"/>
              <w:rPr>
                <w:sz w:val="22"/>
                <w:szCs w:val="22"/>
              </w:rPr>
            </w:pPr>
            <w:r>
              <w:rPr>
                <w:sz w:val="22"/>
                <w:szCs w:val="22"/>
              </w:rPr>
              <w:t>3.686,40</w:t>
            </w:r>
          </w:p>
        </w:tc>
        <w:tc>
          <w:tcPr>
            <w:tcW w:w="2267" w:type="dxa"/>
            <w:shd w:val="clear" w:color="auto" w:fill="auto"/>
            <w:vAlign w:val="center"/>
          </w:tcPr>
          <w:p w14:paraId="19F5D317" w14:textId="77777777" w:rsidR="00094C20" w:rsidRDefault="00094C20" w:rsidP="00923239">
            <w:pPr>
              <w:jc w:val="center"/>
              <w:rPr>
                <w:sz w:val="22"/>
                <w:szCs w:val="22"/>
              </w:rPr>
            </w:pPr>
            <w:r>
              <w:rPr>
                <w:sz w:val="22"/>
                <w:szCs w:val="22"/>
              </w:rPr>
              <w:t>78.855,91</w:t>
            </w:r>
          </w:p>
        </w:tc>
      </w:tr>
      <w:tr w:rsidR="00D80D85" w14:paraId="402D0A46" w14:textId="77777777" w:rsidTr="00A9161D">
        <w:tc>
          <w:tcPr>
            <w:tcW w:w="2258" w:type="dxa"/>
            <w:shd w:val="clear" w:color="auto" w:fill="auto"/>
            <w:vAlign w:val="center"/>
          </w:tcPr>
          <w:p w14:paraId="2412195E" w14:textId="77777777" w:rsidR="00D80D85" w:rsidRDefault="00D80D85" w:rsidP="00923239">
            <w:pPr>
              <w:jc w:val="center"/>
              <w:rPr>
                <w:sz w:val="22"/>
                <w:szCs w:val="22"/>
              </w:rPr>
            </w:pPr>
            <w:r>
              <w:rPr>
                <w:b/>
                <w:bCs/>
                <w:color w:val="000000"/>
                <w:sz w:val="22"/>
                <w:szCs w:val="22"/>
              </w:rPr>
              <w:t>Total na Fatura (R$)</w:t>
            </w:r>
          </w:p>
        </w:tc>
        <w:tc>
          <w:tcPr>
            <w:tcW w:w="2269" w:type="dxa"/>
            <w:shd w:val="clear" w:color="auto" w:fill="auto"/>
            <w:vAlign w:val="center"/>
          </w:tcPr>
          <w:p w14:paraId="6563F853" w14:textId="77777777" w:rsidR="00D80D85" w:rsidRDefault="00D80D85" w:rsidP="00923239">
            <w:pPr>
              <w:jc w:val="center"/>
              <w:rPr>
                <w:sz w:val="22"/>
                <w:szCs w:val="22"/>
              </w:rPr>
            </w:pPr>
            <w:r>
              <w:rPr>
                <w:sz w:val="22"/>
                <w:szCs w:val="22"/>
              </w:rPr>
              <w:t>-</w:t>
            </w:r>
          </w:p>
        </w:tc>
        <w:tc>
          <w:tcPr>
            <w:tcW w:w="2267" w:type="dxa"/>
            <w:shd w:val="clear" w:color="auto" w:fill="auto"/>
            <w:vAlign w:val="center"/>
          </w:tcPr>
          <w:p w14:paraId="473A6570" w14:textId="77777777" w:rsidR="00D80D85" w:rsidRDefault="00D80D85" w:rsidP="00923239">
            <w:pPr>
              <w:jc w:val="center"/>
              <w:rPr>
                <w:sz w:val="22"/>
                <w:szCs w:val="22"/>
              </w:rPr>
            </w:pPr>
            <w:r>
              <w:rPr>
                <w:sz w:val="22"/>
                <w:szCs w:val="22"/>
              </w:rPr>
              <w:t>-</w:t>
            </w:r>
          </w:p>
        </w:tc>
        <w:tc>
          <w:tcPr>
            <w:tcW w:w="2267" w:type="dxa"/>
            <w:shd w:val="clear" w:color="auto" w:fill="E7E6E6" w:themeFill="background2"/>
            <w:vAlign w:val="center"/>
          </w:tcPr>
          <w:p w14:paraId="26525900" w14:textId="77777777" w:rsidR="00D80D85" w:rsidRPr="00191A7C" w:rsidRDefault="00D80D85" w:rsidP="00923239">
            <w:pPr>
              <w:jc w:val="center"/>
              <w:rPr>
                <w:b/>
                <w:bCs/>
                <w:sz w:val="22"/>
                <w:szCs w:val="22"/>
              </w:rPr>
            </w:pPr>
            <w:r w:rsidRPr="00191A7C">
              <w:rPr>
                <w:b/>
                <w:bCs/>
                <w:sz w:val="22"/>
                <w:szCs w:val="22"/>
              </w:rPr>
              <w:t>126.065,95</w:t>
            </w:r>
          </w:p>
        </w:tc>
      </w:tr>
    </w:tbl>
    <w:p w14:paraId="1AEFFEE4" w14:textId="4A95A4FD" w:rsidR="00094C20" w:rsidRDefault="00A9161D" w:rsidP="0070533E">
      <w:pPr>
        <w:jc w:val="center"/>
        <w:rPr>
          <w:noProof/>
        </w:rPr>
      </w:pPr>
      <w:r>
        <w:rPr>
          <w:noProof/>
        </w:rPr>
        <w:t>Fonte: E</w:t>
      </w:r>
      <w:r w:rsidRPr="007C226A">
        <w:rPr>
          <w:noProof/>
        </w:rPr>
        <w:t>laborad</w:t>
      </w:r>
      <w:r w:rsidR="00D9633E">
        <w:rPr>
          <w:noProof/>
        </w:rPr>
        <w:t>a</w:t>
      </w:r>
      <w:r w:rsidRPr="007C226A">
        <w:rPr>
          <w:noProof/>
        </w:rPr>
        <w:t xml:space="preserve"> pelo autor</w:t>
      </w:r>
      <w:r>
        <w:rPr>
          <w:noProof/>
        </w:rPr>
        <w:t xml:space="preserve"> (2022)</w:t>
      </w:r>
    </w:p>
    <w:p w14:paraId="5539103E" w14:textId="77777777" w:rsidR="00A9161D" w:rsidRDefault="00A9161D" w:rsidP="0093002D">
      <w:pPr>
        <w:jc w:val="both"/>
        <w:rPr>
          <w:sz w:val="22"/>
          <w:szCs w:val="22"/>
        </w:rPr>
      </w:pPr>
    </w:p>
    <w:p w14:paraId="0412340B" w14:textId="7F1CB993" w:rsidR="00D80D85" w:rsidRDefault="00D80D85" w:rsidP="00D80D85">
      <w:pPr>
        <w:pStyle w:val="p11"/>
        <w:tabs>
          <w:tab w:val="clear" w:pos="720"/>
        </w:tabs>
        <w:spacing w:line="240" w:lineRule="auto"/>
        <w:rPr>
          <w:sz w:val="22"/>
          <w:szCs w:val="22"/>
        </w:rPr>
      </w:pPr>
      <w:r w:rsidRPr="0037141B">
        <w:rPr>
          <w:sz w:val="22"/>
          <w:szCs w:val="22"/>
        </w:rPr>
        <w:t xml:space="preserve">Tabela </w:t>
      </w:r>
      <w:r>
        <w:rPr>
          <w:sz w:val="22"/>
          <w:szCs w:val="22"/>
        </w:rPr>
        <w:t>2</w:t>
      </w:r>
      <w:r w:rsidRPr="0037141B">
        <w:rPr>
          <w:sz w:val="22"/>
          <w:szCs w:val="22"/>
        </w:rPr>
        <w:t xml:space="preserve">. </w:t>
      </w:r>
      <w:r w:rsidR="003079EB">
        <w:rPr>
          <w:sz w:val="22"/>
          <w:szCs w:val="22"/>
        </w:rPr>
        <w:t>D</w:t>
      </w:r>
      <w:r>
        <w:rPr>
          <w:sz w:val="22"/>
          <w:szCs w:val="22"/>
        </w:rPr>
        <w:t>epois da mudança do horário de funcionamento da CAG.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2269"/>
        <w:gridCol w:w="2267"/>
        <w:gridCol w:w="2267"/>
      </w:tblGrid>
      <w:tr w:rsidR="00D80D85" w14:paraId="53BD7B4F" w14:textId="77777777" w:rsidTr="00A9161D">
        <w:tc>
          <w:tcPr>
            <w:tcW w:w="2258" w:type="dxa"/>
            <w:shd w:val="clear" w:color="auto" w:fill="auto"/>
            <w:vAlign w:val="center"/>
          </w:tcPr>
          <w:p w14:paraId="49633AD9" w14:textId="77777777" w:rsidR="00D80D85" w:rsidRDefault="00D80D85" w:rsidP="00923239">
            <w:pPr>
              <w:jc w:val="center"/>
              <w:rPr>
                <w:sz w:val="22"/>
                <w:szCs w:val="22"/>
              </w:rPr>
            </w:pPr>
          </w:p>
        </w:tc>
        <w:tc>
          <w:tcPr>
            <w:tcW w:w="2269" w:type="dxa"/>
            <w:shd w:val="clear" w:color="auto" w:fill="auto"/>
            <w:vAlign w:val="center"/>
          </w:tcPr>
          <w:p w14:paraId="7ED58127" w14:textId="77777777" w:rsidR="00D80D85" w:rsidRDefault="00D80D85" w:rsidP="00923239">
            <w:pPr>
              <w:jc w:val="center"/>
              <w:rPr>
                <w:sz w:val="22"/>
                <w:szCs w:val="22"/>
              </w:rPr>
            </w:pPr>
            <w:r>
              <w:rPr>
                <w:b/>
                <w:bCs/>
                <w:color w:val="000000"/>
                <w:sz w:val="22"/>
                <w:szCs w:val="22"/>
              </w:rPr>
              <w:t>Preço</w:t>
            </w:r>
            <w:r w:rsidR="002729E1">
              <w:rPr>
                <w:b/>
                <w:bCs/>
                <w:color w:val="000000"/>
                <w:sz w:val="22"/>
                <w:szCs w:val="22"/>
              </w:rPr>
              <w:t xml:space="preserve"> da Tarifa</w:t>
            </w:r>
          </w:p>
        </w:tc>
        <w:tc>
          <w:tcPr>
            <w:tcW w:w="2267" w:type="dxa"/>
            <w:shd w:val="clear" w:color="auto" w:fill="auto"/>
            <w:vAlign w:val="center"/>
          </w:tcPr>
          <w:p w14:paraId="5FC8ABB4" w14:textId="77777777" w:rsidR="00D80D85" w:rsidRDefault="00D80D85" w:rsidP="00923239">
            <w:pPr>
              <w:jc w:val="center"/>
              <w:rPr>
                <w:sz w:val="22"/>
                <w:szCs w:val="22"/>
              </w:rPr>
            </w:pPr>
            <w:r>
              <w:rPr>
                <w:b/>
                <w:bCs/>
                <w:color w:val="000000"/>
                <w:sz w:val="22"/>
                <w:szCs w:val="22"/>
              </w:rPr>
              <w:t>Quantidade (kW)</w:t>
            </w:r>
          </w:p>
        </w:tc>
        <w:tc>
          <w:tcPr>
            <w:tcW w:w="2267" w:type="dxa"/>
            <w:shd w:val="clear" w:color="auto" w:fill="auto"/>
            <w:vAlign w:val="center"/>
          </w:tcPr>
          <w:p w14:paraId="30700005" w14:textId="517CDDEA" w:rsidR="00D80D85" w:rsidRDefault="00F94A46" w:rsidP="00923239">
            <w:pPr>
              <w:jc w:val="center"/>
              <w:rPr>
                <w:sz w:val="22"/>
                <w:szCs w:val="22"/>
              </w:rPr>
            </w:pPr>
            <w:r>
              <w:rPr>
                <w:b/>
                <w:bCs/>
                <w:color w:val="000000"/>
                <w:sz w:val="22"/>
                <w:szCs w:val="22"/>
              </w:rPr>
              <w:t xml:space="preserve">Tarifa x Quantidade </w:t>
            </w:r>
          </w:p>
        </w:tc>
      </w:tr>
      <w:tr w:rsidR="00D80D85" w14:paraId="2F22BC6E" w14:textId="77777777" w:rsidTr="00A9161D">
        <w:tc>
          <w:tcPr>
            <w:tcW w:w="2258" w:type="dxa"/>
            <w:shd w:val="clear" w:color="auto" w:fill="auto"/>
            <w:vAlign w:val="center"/>
          </w:tcPr>
          <w:p w14:paraId="27306815" w14:textId="77777777" w:rsidR="00D80D85" w:rsidRDefault="00D80D85" w:rsidP="00923239">
            <w:pPr>
              <w:jc w:val="center"/>
              <w:rPr>
                <w:sz w:val="22"/>
                <w:szCs w:val="22"/>
              </w:rPr>
            </w:pPr>
            <w:r>
              <w:rPr>
                <w:b/>
                <w:bCs/>
                <w:color w:val="000000"/>
                <w:sz w:val="22"/>
                <w:szCs w:val="22"/>
              </w:rPr>
              <w:t>Demanda Fora Ponta</w:t>
            </w:r>
          </w:p>
        </w:tc>
        <w:tc>
          <w:tcPr>
            <w:tcW w:w="2269" w:type="dxa"/>
            <w:shd w:val="clear" w:color="auto" w:fill="auto"/>
            <w:vAlign w:val="center"/>
          </w:tcPr>
          <w:p w14:paraId="0715B411" w14:textId="77777777" w:rsidR="00D80D85" w:rsidRDefault="00D80D85" w:rsidP="00923239">
            <w:pPr>
              <w:jc w:val="center"/>
              <w:rPr>
                <w:sz w:val="22"/>
                <w:szCs w:val="22"/>
              </w:rPr>
            </w:pPr>
            <w:r>
              <w:rPr>
                <w:sz w:val="22"/>
                <w:szCs w:val="22"/>
              </w:rPr>
              <w:t>13,436373</w:t>
            </w:r>
          </w:p>
        </w:tc>
        <w:tc>
          <w:tcPr>
            <w:tcW w:w="2267" w:type="dxa"/>
            <w:shd w:val="clear" w:color="auto" w:fill="auto"/>
            <w:vAlign w:val="center"/>
          </w:tcPr>
          <w:p w14:paraId="66A999C2" w14:textId="77777777" w:rsidR="00D80D85" w:rsidRDefault="00D80D85" w:rsidP="00923239">
            <w:pPr>
              <w:jc w:val="center"/>
              <w:rPr>
                <w:sz w:val="22"/>
                <w:szCs w:val="22"/>
              </w:rPr>
            </w:pPr>
            <w:r>
              <w:rPr>
                <w:sz w:val="22"/>
                <w:szCs w:val="22"/>
              </w:rPr>
              <w:t>3.657,60</w:t>
            </w:r>
          </w:p>
        </w:tc>
        <w:tc>
          <w:tcPr>
            <w:tcW w:w="2267" w:type="dxa"/>
            <w:shd w:val="clear" w:color="auto" w:fill="auto"/>
            <w:vAlign w:val="center"/>
          </w:tcPr>
          <w:p w14:paraId="137CA06A" w14:textId="77777777" w:rsidR="00D80D85" w:rsidRDefault="00D80D85" w:rsidP="00923239">
            <w:pPr>
              <w:jc w:val="center"/>
              <w:rPr>
                <w:sz w:val="22"/>
                <w:szCs w:val="22"/>
              </w:rPr>
            </w:pPr>
            <w:r>
              <w:rPr>
                <w:sz w:val="22"/>
                <w:szCs w:val="22"/>
              </w:rPr>
              <w:t>49.144,88</w:t>
            </w:r>
          </w:p>
        </w:tc>
      </w:tr>
      <w:tr w:rsidR="00D80D85" w14:paraId="7DC5F941" w14:textId="77777777" w:rsidTr="00A9161D">
        <w:tc>
          <w:tcPr>
            <w:tcW w:w="2258" w:type="dxa"/>
            <w:shd w:val="clear" w:color="auto" w:fill="auto"/>
            <w:vAlign w:val="center"/>
          </w:tcPr>
          <w:p w14:paraId="62A38B18" w14:textId="77777777" w:rsidR="00D80D85" w:rsidRDefault="00D80D85" w:rsidP="00923239">
            <w:pPr>
              <w:jc w:val="center"/>
              <w:rPr>
                <w:sz w:val="22"/>
                <w:szCs w:val="22"/>
              </w:rPr>
            </w:pPr>
            <w:r>
              <w:rPr>
                <w:b/>
                <w:bCs/>
                <w:color w:val="000000"/>
                <w:sz w:val="22"/>
                <w:szCs w:val="22"/>
              </w:rPr>
              <w:t>Demanda na Ponta</w:t>
            </w:r>
          </w:p>
        </w:tc>
        <w:tc>
          <w:tcPr>
            <w:tcW w:w="2269" w:type="dxa"/>
            <w:shd w:val="clear" w:color="auto" w:fill="auto"/>
            <w:vAlign w:val="center"/>
          </w:tcPr>
          <w:p w14:paraId="371C0E55" w14:textId="7F749C76" w:rsidR="00D80D85" w:rsidRDefault="00D80D85" w:rsidP="00923239">
            <w:pPr>
              <w:jc w:val="center"/>
              <w:rPr>
                <w:sz w:val="22"/>
                <w:szCs w:val="22"/>
              </w:rPr>
            </w:pPr>
            <w:r>
              <w:rPr>
                <w:sz w:val="22"/>
                <w:szCs w:val="22"/>
              </w:rPr>
              <w:t>21</w:t>
            </w:r>
            <w:r w:rsidR="00191A7C">
              <w:rPr>
                <w:sz w:val="22"/>
                <w:szCs w:val="22"/>
              </w:rPr>
              <w:t>,</w:t>
            </w:r>
            <w:r>
              <w:rPr>
                <w:sz w:val="22"/>
                <w:szCs w:val="22"/>
              </w:rPr>
              <w:t>39103554</w:t>
            </w:r>
          </w:p>
        </w:tc>
        <w:tc>
          <w:tcPr>
            <w:tcW w:w="2267" w:type="dxa"/>
            <w:shd w:val="clear" w:color="auto" w:fill="auto"/>
            <w:vAlign w:val="center"/>
          </w:tcPr>
          <w:p w14:paraId="4A5E9AF6" w14:textId="77777777" w:rsidR="00D80D85" w:rsidRDefault="00D80D85" w:rsidP="00923239">
            <w:pPr>
              <w:jc w:val="center"/>
              <w:rPr>
                <w:sz w:val="22"/>
                <w:szCs w:val="22"/>
              </w:rPr>
            </w:pPr>
            <w:r>
              <w:rPr>
                <w:sz w:val="22"/>
                <w:szCs w:val="22"/>
              </w:rPr>
              <w:t>3.196,80</w:t>
            </w:r>
          </w:p>
        </w:tc>
        <w:tc>
          <w:tcPr>
            <w:tcW w:w="2267" w:type="dxa"/>
            <w:shd w:val="clear" w:color="auto" w:fill="auto"/>
            <w:vAlign w:val="center"/>
          </w:tcPr>
          <w:p w14:paraId="2A6B9F2B" w14:textId="77777777" w:rsidR="00D80D85" w:rsidRDefault="00D80D85" w:rsidP="00923239">
            <w:pPr>
              <w:jc w:val="center"/>
              <w:rPr>
                <w:sz w:val="22"/>
                <w:szCs w:val="22"/>
              </w:rPr>
            </w:pPr>
            <w:r>
              <w:rPr>
                <w:sz w:val="22"/>
                <w:szCs w:val="22"/>
              </w:rPr>
              <w:t>68.382,86</w:t>
            </w:r>
          </w:p>
        </w:tc>
      </w:tr>
      <w:tr w:rsidR="00D80D85" w14:paraId="04D019AC" w14:textId="77777777" w:rsidTr="00A9161D">
        <w:tc>
          <w:tcPr>
            <w:tcW w:w="2258" w:type="dxa"/>
            <w:shd w:val="clear" w:color="auto" w:fill="auto"/>
            <w:vAlign w:val="center"/>
          </w:tcPr>
          <w:p w14:paraId="2EF81B24" w14:textId="77777777" w:rsidR="00D80D85" w:rsidRDefault="00D80D85" w:rsidP="00923239">
            <w:pPr>
              <w:jc w:val="center"/>
              <w:rPr>
                <w:sz w:val="22"/>
                <w:szCs w:val="22"/>
              </w:rPr>
            </w:pPr>
            <w:r>
              <w:rPr>
                <w:b/>
                <w:bCs/>
                <w:color w:val="000000"/>
                <w:sz w:val="22"/>
                <w:szCs w:val="22"/>
              </w:rPr>
              <w:t>Total na Fatura (R$)</w:t>
            </w:r>
          </w:p>
        </w:tc>
        <w:tc>
          <w:tcPr>
            <w:tcW w:w="2269" w:type="dxa"/>
            <w:shd w:val="clear" w:color="auto" w:fill="auto"/>
            <w:vAlign w:val="center"/>
          </w:tcPr>
          <w:p w14:paraId="7F35F689" w14:textId="77777777" w:rsidR="00D80D85" w:rsidRDefault="00D80D85" w:rsidP="00923239">
            <w:pPr>
              <w:jc w:val="center"/>
              <w:rPr>
                <w:sz w:val="22"/>
                <w:szCs w:val="22"/>
              </w:rPr>
            </w:pPr>
            <w:r>
              <w:rPr>
                <w:sz w:val="22"/>
                <w:szCs w:val="22"/>
              </w:rPr>
              <w:t>-</w:t>
            </w:r>
          </w:p>
        </w:tc>
        <w:tc>
          <w:tcPr>
            <w:tcW w:w="2267" w:type="dxa"/>
            <w:shd w:val="clear" w:color="auto" w:fill="auto"/>
            <w:vAlign w:val="center"/>
          </w:tcPr>
          <w:p w14:paraId="543FEA64" w14:textId="77777777" w:rsidR="00D80D85" w:rsidRDefault="00D80D85" w:rsidP="00923239">
            <w:pPr>
              <w:jc w:val="center"/>
              <w:rPr>
                <w:sz w:val="22"/>
                <w:szCs w:val="22"/>
              </w:rPr>
            </w:pPr>
            <w:r>
              <w:rPr>
                <w:sz w:val="22"/>
                <w:szCs w:val="22"/>
              </w:rPr>
              <w:t>-</w:t>
            </w:r>
          </w:p>
        </w:tc>
        <w:tc>
          <w:tcPr>
            <w:tcW w:w="2267" w:type="dxa"/>
            <w:shd w:val="clear" w:color="auto" w:fill="E7E6E6" w:themeFill="background2"/>
            <w:vAlign w:val="center"/>
          </w:tcPr>
          <w:p w14:paraId="330FEBA6" w14:textId="77777777" w:rsidR="00D80D85" w:rsidRPr="00191A7C" w:rsidRDefault="00D80D85" w:rsidP="00923239">
            <w:pPr>
              <w:jc w:val="center"/>
              <w:rPr>
                <w:b/>
                <w:bCs/>
                <w:sz w:val="22"/>
                <w:szCs w:val="22"/>
              </w:rPr>
            </w:pPr>
            <w:r w:rsidRPr="00191A7C">
              <w:rPr>
                <w:b/>
                <w:bCs/>
                <w:sz w:val="22"/>
                <w:szCs w:val="22"/>
              </w:rPr>
              <w:t>117.527,74</w:t>
            </w:r>
          </w:p>
        </w:tc>
      </w:tr>
    </w:tbl>
    <w:p w14:paraId="3E759135" w14:textId="69E76C21" w:rsidR="002729E1" w:rsidRDefault="00A9161D" w:rsidP="0070533E">
      <w:pPr>
        <w:jc w:val="center"/>
        <w:rPr>
          <w:noProof/>
        </w:rPr>
      </w:pPr>
      <w:r>
        <w:rPr>
          <w:noProof/>
        </w:rPr>
        <w:t>Fonte: E</w:t>
      </w:r>
      <w:r w:rsidRPr="007C226A">
        <w:rPr>
          <w:noProof/>
        </w:rPr>
        <w:t>laborad</w:t>
      </w:r>
      <w:r w:rsidR="00D9633E">
        <w:rPr>
          <w:noProof/>
        </w:rPr>
        <w:t>a</w:t>
      </w:r>
      <w:r w:rsidRPr="007C226A">
        <w:rPr>
          <w:noProof/>
        </w:rPr>
        <w:t xml:space="preserve"> pelo autor</w:t>
      </w:r>
      <w:r>
        <w:rPr>
          <w:noProof/>
        </w:rPr>
        <w:t xml:space="preserve"> (2022)</w:t>
      </w:r>
    </w:p>
    <w:p w14:paraId="51CBD782" w14:textId="77777777" w:rsidR="00A9161D" w:rsidRDefault="00A9161D" w:rsidP="0093002D">
      <w:pPr>
        <w:jc w:val="both"/>
        <w:rPr>
          <w:sz w:val="22"/>
          <w:szCs w:val="22"/>
        </w:rPr>
      </w:pPr>
    </w:p>
    <w:p w14:paraId="3F508129" w14:textId="77777777" w:rsidR="002729E1" w:rsidRDefault="00B572E7" w:rsidP="00B572E7">
      <w:pPr>
        <w:ind w:firstLine="708"/>
        <w:jc w:val="both"/>
        <w:rPr>
          <w:sz w:val="22"/>
          <w:szCs w:val="22"/>
        </w:rPr>
      </w:pPr>
      <w:r w:rsidRPr="00B572E7">
        <w:rPr>
          <w:sz w:val="22"/>
          <w:szCs w:val="22"/>
        </w:rPr>
        <w:t>Ao subtrair os valores das tabelas anterior (R$126.065,95) e posterior (R$117.527,74) à mudança de horário de funcionamento da CAG, obtém-se uma economia de R$8.538,21 (oito mil quinhentos e trinta e oito reais e vinte e um centavos).</w:t>
      </w:r>
    </w:p>
    <w:p w14:paraId="0E77D2BF" w14:textId="77777777" w:rsidR="00D80D85" w:rsidRPr="00437A35" w:rsidRDefault="00D80D85" w:rsidP="00D64F6F">
      <w:pPr>
        <w:jc w:val="both"/>
      </w:pPr>
    </w:p>
    <w:p w14:paraId="25DC9C7D" w14:textId="77777777" w:rsidR="00C350B6" w:rsidRDefault="00A40B19" w:rsidP="00380272">
      <w:pPr>
        <w:ind w:right="-1"/>
        <w:jc w:val="both"/>
        <w:rPr>
          <w:b/>
          <w:sz w:val="22"/>
          <w:szCs w:val="22"/>
        </w:rPr>
      </w:pPr>
      <w:r w:rsidRPr="00437A35">
        <w:rPr>
          <w:b/>
          <w:sz w:val="22"/>
          <w:szCs w:val="22"/>
        </w:rPr>
        <w:t>CONCLUS</w:t>
      </w:r>
      <w:r w:rsidR="00F47800">
        <w:rPr>
          <w:b/>
          <w:sz w:val="22"/>
          <w:szCs w:val="22"/>
        </w:rPr>
        <w:t>ÃO</w:t>
      </w:r>
    </w:p>
    <w:p w14:paraId="12931891" w14:textId="04D57720" w:rsidR="004E3337" w:rsidRPr="00F239C2" w:rsidRDefault="004E3337" w:rsidP="00A52332">
      <w:pPr>
        <w:ind w:firstLine="708"/>
        <w:jc w:val="both"/>
        <w:rPr>
          <w:sz w:val="22"/>
          <w:szCs w:val="22"/>
        </w:rPr>
      </w:pPr>
      <w:r w:rsidRPr="00F239C2">
        <w:rPr>
          <w:sz w:val="22"/>
          <w:szCs w:val="22"/>
        </w:rPr>
        <w:t>Através da reconfiguração dos equipamentos de refrigeração durante o horário de funcionamento, foi alcançada uma redução na demanda energética durante os horários de pico, resultando em impacto direto na conta de energia elétrica do empreendimento e proporcionando uma economia financeira superior a R$ 8.000 na conta de energia elétrica. Esses resultados destacam como uma simples alteração, pautada na busca por maior eficiência operacional, pode gerar lucros inesperados.</w:t>
      </w:r>
    </w:p>
    <w:p w14:paraId="225DCDF1" w14:textId="0FF7054D" w:rsidR="001E2B04" w:rsidRDefault="00F23767" w:rsidP="00A52332">
      <w:pPr>
        <w:ind w:firstLine="708"/>
        <w:jc w:val="both"/>
        <w:rPr>
          <w:sz w:val="22"/>
          <w:szCs w:val="22"/>
        </w:rPr>
      </w:pPr>
      <w:r w:rsidRPr="00F239C2">
        <w:rPr>
          <w:sz w:val="22"/>
          <w:szCs w:val="22"/>
        </w:rPr>
        <w:t>A eficiência</w:t>
      </w:r>
      <w:r w:rsidRPr="00F23767">
        <w:rPr>
          <w:sz w:val="22"/>
          <w:szCs w:val="22"/>
        </w:rPr>
        <w:t xml:space="preserve"> energética é um fator essencial para a sustentabilidade e redução do consumo de energia.</w:t>
      </w:r>
      <w:r>
        <w:rPr>
          <w:sz w:val="22"/>
          <w:szCs w:val="22"/>
        </w:rPr>
        <w:t xml:space="preserve"> Ela</w:t>
      </w:r>
      <w:r w:rsidR="00A52332" w:rsidRPr="00A52332">
        <w:rPr>
          <w:sz w:val="22"/>
          <w:szCs w:val="22"/>
        </w:rPr>
        <w:t xml:space="preserve"> desempenha um papel crucial nesse cenário, uma vez que priorizar práticas e tecnologias que maximizem o aproveitamento da energia</w:t>
      </w:r>
      <w:r>
        <w:rPr>
          <w:sz w:val="22"/>
          <w:szCs w:val="22"/>
        </w:rPr>
        <w:t>, podendo alcançar</w:t>
      </w:r>
      <w:r w:rsidR="00A52332" w:rsidRPr="00A52332">
        <w:rPr>
          <w:sz w:val="22"/>
          <w:szCs w:val="22"/>
        </w:rPr>
        <w:t xml:space="preserve"> benefícios econômicos e ambientais significativos. A redução do desperdício energético e o uso inteligente dos recursos disponíveis são estratégias fundamentais para mitigar os impactos negativos do consumo excessivo de energia, contribuindo para um desenvolvimento sustentável. Investir em eficiência energética não apenas proporciona economias financeiras a longo prazo, mas também preserva o meio ambiente e constrói um futuro mais sustentável para as gerações futuras.</w:t>
      </w:r>
    </w:p>
    <w:p w14:paraId="35382FDA" w14:textId="77777777" w:rsidR="001023F2" w:rsidRDefault="001023F2" w:rsidP="00A52332">
      <w:pPr>
        <w:ind w:firstLine="708"/>
        <w:jc w:val="both"/>
        <w:rPr>
          <w:sz w:val="22"/>
          <w:szCs w:val="22"/>
        </w:rPr>
      </w:pPr>
    </w:p>
    <w:p w14:paraId="6D891547" w14:textId="77777777" w:rsidR="00F81D07" w:rsidRDefault="00E74C1E" w:rsidP="00380272">
      <w:pPr>
        <w:pStyle w:val="TextosemFormatao"/>
        <w:spacing w:beforeAutospacing="0" w:afterAutospacing="0"/>
        <w:rPr>
          <w:rFonts w:ascii="Times New Roman" w:hAnsi="Times New Roman"/>
          <w:b/>
          <w:sz w:val="22"/>
          <w:szCs w:val="22"/>
          <w:lang w:val="pt-BR"/>
        </w:rPr>
      </w:pPr>
      <w:r w:rsidRPr="00437A35">
        <w:rPr>
          <w:rFonts w:ascii="Times New Roman" w:hAnsi="Times New Roman"/>
          <w:b/>
          <w:sz w:val="22"/>
          <w:szCs w:val="22"/>
          <w:lang w:val="pt-BR"/>
        </w:rPr>
        <w:t xml:space="preserve">REFERÊNCIAS </w:t>
      </w:r>
    </w:p>
    <w:p w14:paraId="3F022B12" w14:textId="77777777" w:rsidR="00F81D07" w:rsidRPr="00E0110A" w:rsidRDefault="00F81D07" w:rsidP="00F81D07">
      <w:pPr>
        <w:pStyle w:val="Default"/>
        <w:ind w:left="284" w:hanging="284"/>
        <w:jc w:val="both"/>
        <w:rPr>
          <w:color w:val="auto"/>
          <w:sz w:val="22"/>
          <w:szCs w:val="22"/>
        </w:rPr>
      </w:pPr>
      <w:r w:rsidRPr="00E0110A">
        <w:rPr>
          <w:color w:val="auto"/>
          <w:sz w:val="22"/>
          <w:szCs w:val="22"/>
        </w:rPr>
        <w:t>Q</w:t>
      </w:r>
      <w:r w:rsidR="00077B75" w:rsidRPr="00E0110A">
        <w:rPr>
          <w:color w:val="auto"/>
          <w:sz w:val="22"/>
          <w:szCs w:val="22"/>
        </w:rPr>
        <w:t>ueiroz</w:t>
      </w:r>
      <w:r w:rsidRPr="00E0110A">
        <w:rPr>
          <w:color w:val="auto"/>
          <w:sz w:val="22"/>
          <w:szCs w:val="22"/>
        </w:rPr>
        <w:t>, P. V. S. de. Mensuração do consumo de energia elétrica: algoritmo para detecção de potenciais usuários de termoacumulação como alternativa para deslocamento de carga, cap. 4, Termoacumulação: alternativa tecnológica para eficiência energética. Dissertação de mestrado. PUC-Rio. Rio de Janeiro, 2011</w:t>
      </w:r>
      <w:r w:rsidR="007B58C3" w:rsidRPr="00E0110A">
        <w:rPr>
          <w:color w:val="auto"/>
          <w:sz w:val="22"/>
          <w:szCs w:val="22"/>
        </w:rPr>
        <w:t>.</w:t>
      </w:r>
    </w:p>
    <w:p w14:paraId="513B2921" w14:textId="77777777" w:rsidR="00DE180D" w:rsidRPr="00E0110A" w:rsidRDefault="00077B75" w:rsidP="00DE180D">
      <w:pPr>
        <w:pStyle w:val="Default"/>
        <w:ind w:left="284" w:hanging="284"/>
        <w:jc w:val="both"/>
        <w:rPr>
          <w:color w:val="auto"/>
          <w:sz w:val="22"/>
          <w:szCs w:val="22"/>
        </w:rPr>
      </w:pPr>
      <w:r w:rsidRPr="00E0110A">
        <w:rPr>
          <w:color w:val="auto"/>
          <w:sz w:val="22"/>
          <w:szCs w:val="22"/>
        </w:rPr>
        <w:t>Santos, P. S. M. Estudo de viabilidade técnico-econômica do uso de termoacumulação em um sistema de ar-condicionado de um estabelecimento comercial. TCC</w:t>
      </w:r>
      <w:r w:rsidR="00876BC9" w:rsidRPr="00E0110A">
        <w:rPr>
          <w:color w:val="auto"/>
          <w:sz w:val="22"/>
          <w:szCs w:val="22"/>
        </w:rPr>
        <w:t>. Instituto do Mar. Universidade Federal de São Paulo. São Paulo, 2020.</w:t>
      </w:r>
    </w:p>
    <w:p w14:paraId="65A5BDCA" w14:textId="77777777" w:rsidR="00DF68F1" w:rsidRDefault="00DE180D" w:rsidP="00430C8F">
      <w:pPr>
        <w:pStyle w:val="Default"/>
        <w:ind w:left="284" w:hanging="284"/>
        <w:jc w:val="both"/>
        <w:rPr>
          <w:color w:val="auto"/>
          <w:sz w:val="22"/>
          <w:szCs w:val="22"/>
        </w:rPr>
      </w:pPr>
      <w:r w:rsidRPr="00E0110A">
        <w:rPr>
          <w:color w:val="auto"/>
          <w:sz w:val="22"/>
          <w:szCs w:val="22"/>
        </w:rPr>
        <w:t xml:space="preserve">BRASÍLIA. Ministério do Meio Ambiente. Secretaria de Mudança do Clima e Florestas. Departamento de Monitoramento, Apoio e Fomento de Ações em Mudança do Clima. </w:t>
      </w:r>
      <w:r w:rsidR="00DF68F1" w:rsidRPr="00E0110A">
        <w:rPr>
          <w:color w:val="auto"/>
          <w:sz w:val="22"/>
          <w:szCs w:val="22"/>
        </w:rPr>
        <w:t>Ar condicionado: guia prático sobre sistemas de água gelada. Brasília, DF, 2017. 106p.</w:t>
      </w:r>
    </w:p>
    <w:sectPr w:rsidR="00DF68F1" w:rsidSect="006239A5">
      <w:headerReference w:type="default" r:id="rId14"/>
      <w:footerReference w:type="default" r:id="rId15"/>
      <w:headerReference w:type="first" r:id="rId16"/>
      <w:footerReference w:type="first" r:id="rId17"/>
      <w:pgSz w:w="11907" w:h="16840" w:code="9"/>
      <w:pgMar w:top="1418" w:right="1418" w:bottom="1418"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DF7CB" w14:textId="77777777" w:rsidR="00BD62EB" w:rsidRDefault="00BD62EB">
      <w:r>
        <w:separator/>
      </w:r>
    </w:p>
  </w:endnote>
  <w:endnote w:type="continuationSeparator" w:id="0">
    <w:p w14:paraId="45FA3873" w14:textId="77777777" w:rsidR="00BD62EB" w:rsidRDefault="00BD6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486"/>
      <w:gridCol w:w="5585"/>
    </w:tblGrid>
    <w:tr w:rsidR="00691D2C" w14:paraId="196EEF98" w14:textId="77777777" w:rsidTr="007010AA">
      <w:trPr>
        <w:trHeight w:val="849"/>
      </w:trPr>
      <w:tc>
        <w:tcPr>
          <w:tcW w:w="4605" w:type="dxa"/>
          <w:shd w:val="clear" w:color="auto" w:fill="auto"/>
          <w:vAlign w:val="center"/>
        </w:tcPr>
        <w:p w14:paraId="60F1BCDA" w14:textId="13EF970E" w:rsidR="00691D2C" w:rsidRDefault="00764BAE" w:rsidP="007010AA">
          <w:pPr>
            <w:pStyle w:val="Rodap"/>
            <w:jc w:val="center"/>
          </w:pPr>
          <w:r>
            <w:rPr>
              <w:noProof/>
            </w:rPr>
            <w:drawing>
              <wp:inline distT="0" distB="0" distL="0" distR="0" wp14:anchorId="288AE849" wp14:editId="6AFD5696">
                <wp:extent cx="2154555" cy="445135"/>
                <wp:effectExtent l="0" t="0" r="0" b="0"/>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4555" cy="445135"/>
                        </a:xfrm>
                        <a:prstGeom prst="rect">
                          <a:avLst/>
                        </a:prstGeom>
                        <a:noFill/>
                        <a:ln>
                          <a:noFill/>
                        </a:ln>
                      </pic:spPr>
                    </pic:pic>
                  </a:graphicData>
                </a:graphic>
              </wp:inline>
            </w:drawing>
          </w:r>
        </w:p>
      </w:tc>
      <w:tc>
        <w:tcPr>
          <w:tcW w:w="4606" w:type="dxa"/>
          <w:shd w:val="clear" w:color="auto" w:fill="auto"/>
          <w:vAlign w:val="center"/>
        </w:tcPr>
        <w:p w14:paraId="34E6E86A" w14:textId="10F779DB" w:rsidR="00691D2C" w:rsidRDefault="00764BAE" w:rsidP="007010AA">
          <w:pPr>
            <w:pStyle w:val="Rodap"/>
            <w:jc w:val="center"/>
          </w:pPr>
          <w:r>
            <w:rPr>
              <w:noProof/>
            </w:rPr>
            <w:drawing>
              <wp:inline distT="0" distB="0" distL="0" distR="0" wp14:anchorId="73FDF2A9" wp14:editId="79FD9985">
                <wp:extent cx="3538220" cy="334010"/>
                <wp:effectExtent l="0" t="0" r="0" b="0"/>
                <wp:docPr id="6"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38220" cy="334010"/>
                        </a:xfrm>
                        <a:prstGeom prst="rect">
                          <a:avLst/>
                        </a:prstGeom>
                        <a:noFill/>
                        <a:ln>
                          <a:noFill/>
                        </a:ln>
                      </pic:spPr>
                    </pic:pic>
                  </a:graphicData>
                </a:graphic>
              </wp:inline>
            </w:drawing>
          </w:r>
        </w:p>
      </w:tc>
    </w:tr>
  </w:tbl>
  <w:p w14:paraId="4FEA5FD4" w14:textId="77777777" w:rsidR="00C9142B" w:rsidRDefault="00C9142B" w:rsidP="00C9142B">
    <w:pPr>
      <w:pStyle w:val="Rodap"/>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486"/>
      <w:gridCol w:w="5585"/>
    </w:tblGrid>
    <w:tr w:rsidR="00691D2C" w14:paraId="69219D8C" w14:textId="77777777" w:rsidTr="007010AA">
      <w:trPr>
        <w:trHeight w:val="849"/>
      </w:trPr>
      <w:tc>
        <w:tcPr>
          <w:tcW w:w="4605" w:type="dxa"/>
          <w:shd w:val="clear" w:color="auto" w:fill="auto"/>
          <w:vAlign w:val="center"/>
        </w:tcPr>
        <w:p w14:paraId="4A424431" w14:textId="424EE566" w:rsidR="00691D2C" w:rsidRDefault="00764BAE" w:rsidP="007010AA">
          <w:pPr>
            <w:pStyle w:val="Rodap"/>
            <w:jc w:val="center"/>
          </w:pPr>
          <w:r>
            <w:rPr>
              <w:noProof/>
            </w:rPr>
            <w:drawing>
              <wp:inline distT="0" distB="0" distL="0" distR="0" wp14:anchorId="5010144F" wp14:editId="68F962C4">
                <wp:extent cx="2154555" cy="44513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4555" cy="445135"/>
                        </a:xfrm>
                        <a:prstGeom prst="rect">
                          <a:avLst/>
                        </a:prstGeom>
                        <a:noFill/>
                        <a:ln>
                          <a:noFill/>
                        </a:ln>
                      </pic:spPr>
                    </pic:pic>
                  </a:graphicData>
                </a:graphic>
              </wp:inline>
            </w:drawing>
          </w:r>
        </w:p>
      </w:tc>
      <w:tc>
        <w:tcPr>
          <w:tcW w:w="4606" w:type="dxa"/>
          <w:shd w:val="clear" w:color="auto" w:fill="auto"/>
          <w:vAlign w:val="center"/>
        </w:tcPr>
        <w:p w14:paraId="6B3EF3F3" w14:textId="2FFF0171" w:rsidR="00691D2C" w:rsidRDefault="00764BAE" w:rsidP="007010AA">
          <w:pPr>
            <w:pStyle w:val="Rodap"/>
            <w:jc w:val="center"/>
          </w:pPr>
          <w:r>
            <w:rPr>
              <w:noProof/>
            </w:rPr>
            <w:drawing>
              <wp:inline distT="0" distB="0" distL="0" distR="0" wp14:anchorId="13E7E8DA" wp14:editId="0B114133">
                <wp:extent cx="3538220" cy="334010"/>
                <wp:effectExtent l="0" t="0" r="0"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38220" cy="334010"/>
                        </a:xfrm>
                        <a:prstGeom prst="rect">
                          <a:avLst/>
                        </a:prstGeom>
                        <a:noFill/>
                        <a:ln>
                          <a:noFill/>
                        </a:ln>
                      </pic:spPr>
                    </pic:pic>
                  </a:graphicData>
                </a:graphic>
              </wp:inline>
            </w:drawing>
          </w:r>
        </w:p>
      </w:tc>
    </w:tr>
  </w:tbl>
  <w:p w14:paraId="49A5EFD5" w14:textId="77777777" w:rsidR="00691D2C" w:rsidRDefault="00691D2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169FB" w14:textId="77777777" w:rsidR="00BD62EB" w:rsidRDefault="00BD62EB">
      <w:r>
        <w:separator/>
      </w:r>
    </w:p>
  </w:footnote>
  <w:footnote w:type="continuationSeparator" w:id="0">
    <w:p w14:paraId="6C5D63D9" w14:textId="77777777" w:rsidR="00BD62EB" w:rsidRDefault="00BD6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8BA70" w14:textId="2ACEFF8B" w:rsidR="00691D2C" w:rsidRDefault="00764BAE" w:rsidP="00691D2C">
    <w:pPr>
      <w:pStyle w:val="Cabealho"/>
      <w:jc w:val="center"/>
    </w:pPr>
    <w:r>
      <w:rPr>
        <w:noProof/>
      </w:rPr>
      <w:drawing>
        <wp:inline distT="0" distB="0" distL="0" distR="0" wp14:anchorId="42DCB7FB" wp14:editId="601899BE">
          <wp:extent cx="3625850" cy="763270"/>
          <wp:effectExtent l="0" t="0" r="0" b="0"/>
          <wp:docPr id="4"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t="19753" b="27983"/>
                  <a:stretch>
                    <a:fillRect/>
                  </a:stretch>
                </pic:blipFill>
                <pic:spPr bwMode="auto">
                  <a:xfrm>
                    <a:off x="0" y="0"/>
                    <a:ext cx="3625850" cy="763270"/>
                  </a:xfrm>
                  <a:prstGeom prst="rect">
                    <a:avLst/>
                  </a:prstGeom>
                  <a:noFill/>
                  <a:ln>
                    <a:noFill/>
                  </a:ln>
                </pic:spPr>
              </pic:pic>
            </a:graphicData>
          </a:graphic>
        </wp:inline>
      </w:drawing>
    </w:r>
  </w:p>
  <w:p w14:paraId="5C0533DA" w14:textId="77777777" w:rsidR="008B4227" w:rsidRDefault="008B4227" w:rsidP="00691D2C">
    <w:pPr>
      <w:pStyle w:val="Cabealh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6112C" w14:textId="29A97245" w:rsidR="000E5C33" w:rsidRDefault="00764BAE" w:rsidP="00691D2C">
    <w:pPr>
      <w:pStyle w:val="Cabealho"/>
      <w:jc w:val="center"/>
    </w:pPr>
    <w:r>
      <w:rPr>
        <w:noProof/>
      </w:rPr>
      <w:drawing>
        <wp:inline distT="0" distB="0" distL="0" distR="0" wp14:anchorId="5C5550F8" wp14:editId="40662515">
          <wp:extent cx="3625850" cy="763270"/>
          <wp:effectExtent l="0" t="0" r="0"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9753" b="27983"/>
                  <a:stretch>
                    <a:fillRect/>
                  </a:stretch>
                </pic:blipFill>
                <pic:spPr bwMode="auto">
                  <a:xfrm>
                    <a:off x="0" y="0"/>
                    <a:ext cx="3625850" cy="763270"/>
                  </a:xfrm>
                  <a:prstGeom prst="rect">
                    <a:avLst/>
                  </a:prstGeom>
                  <a:noFill/>
                  <a:ln>
                    <a:noFill/>
                  </a:ln>
                </pic:spPr>
              </pic:pic>
            </a:graphicData>
          </a:graphic>
        </wp:inline>
      </w:drawing>
    </w:r>
  </w:p>
  <w:p w14:paraId="724DA138" w14:textId="77777777" w:rsidR="008B4227" w:rsidRPr="00691D2C" w:rsidRDefault="008B4227" w:rsidP="00691D2C">
    <w:pPr>
      <w:pStyle w:val="Cabealh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DDD"/>
    <w:rsid w:val="0000058A"/>
    <w:rsid w:val="00002FF4"/>
    <w:rsid w:val="00007012"/>
    <w:rsid w:val="00007BF5"/>
    <w:rsid w:val="000115A3"/>
    <w:rsid w:val="0001166C"/>
    <w:rsid w:val="000118AC"/>
    <w:rsid w:val="00015B60"/>
    <w:rsid w:val="00020CBE"/>
    <w:rsid w:val="00022D0B"/>
    <w:rsid w:val="00024E1A"/>
    <w:rsid w:val="00030F47"/>
    <w:rsid w:val="00031AA0"/>
    <w:rsid w:val="00031B7B"/>
    <w:rsid w:val="00031C22"/>
    <w:rsid w:val="00031C75"/>
    <w:rsid w:val="00046884"/>
    <w:rsid w:val="0005714A"/>
    <w:rsid w:val="000611A5"/>
    <w:rsid w:val="0006391F"/>
    <w:rsid w:val="00064CB9"/>
    <w:rsid w:val="000665C4"/>
    <w:rsid w:val="00077B75"/>
    <w:rsid w:val="000807C9"/>
    <w:rsid w:val="0008363F"/>
    <w:rsid w:val="00094C20"/>
    <w:rsid w:val="000B0828"/>
    <w:rsid w:val="000B2226"/>
    <w:rsid w:val="000B68FC"/>
    <w:rsid w:val="000B6B96"/>
    <w:rsid w:val="000D0CA6"/>
    <w:rsid w:val="000D3765"/>
    <w:rsid w:val="000D387B"/>
    <w:rsid w:val="000D4A70"/>
    <w:rsid w:val="000E078A"/>
    <w:rsid w:val="000E5C33"/>
    <w:rsid w:val="000F16C5"/>
    <w:rsid w:val="000F22D6"/>
    <w:rsid w:val="000F2346"/>
    <w:rsid w:val="000F294D"/>
    <w:rsid w:val="001003ED"/>
    <w:rsid w:val="001023F2"/>
    <w:rsid w:val="00102A84"/>
    <w:rsid w:val="00102D6D"/>
    <w:rsid w:val="00103D6C"/>
    <w:rsid w:val="00103EBC"/>
    <w:rsid w:val="001045BA"/>
    <w:rsid w:val="00104813"/>
    <w:rsid w:val="00105C9B"/>
    <w:rsid w:val="0011093A"/>
    <w:rsid w:val="00111469"/>
    <w:rsid w:val="00113EC9"/>
    <w:rsid w:val="001141AB"/>
    <w:rsid w:val="00120B27"/>
    <w:rsid w:val="0012528B"/>
    <w:rsid w:val="0012588F"/>
    <w:rsid w:val="00135E02"/>
    <w:rsid w:val="0013606C"/>
    <w:rsid w:val="001549BA"/>
    <w:rsid w:val="00160C42"/>
    <w:rsid w:val="00162A59"/>
    <w:rsid w:val="0017235A"/>
    <w:rsid w:val="00173A2D"/>
    <w:rsid w:val="001751BC"/>
    <w:rsid w:val="001808CA"/>
    <w:rsid w:val="00180C1A"/>
    <w:rsid w:val="001813B6"/>
    <w:rsid w:val="00183167"/>
    <w:rsid w:val="00187485"/>
    <w:rsid w:val="00187604"/>
    <w:rsid w:val="001901C1"/>
    <w:rsid w:val="00191A7C"/>
    <w:rsid w:val="00193D82"/>
    <w:rsid w:val="001A4EDF"/>
    <w:rsid w:val="001A5BA0"/>
    <w:rsid w:val="001A77CC"/>
    <w:rsid w:val="001B0846"/>
    <w:rsid w:val="001B0BDB"/>
    <w:rsid w:val="001B3ED5"/>
    <w:rsid w:val="001B4D16"/>
    <w:rsid w:val="001B4FCE"/>
    <w:rsid w:val="001B5B60"/>
    <w:rsid w:val="001B7ADB"/>
    <w:rsid w:val="001C3107"/>
    <w:rsid w:val="001C696E"/>
    <w:rsid w:val="001C72BE"/>
    <w:rsid w:val="001C7930"/>
    <w:rsid w:val="001D0FF4"/>
    <w:rsid w:val="001D24D2"/>
    <w:rsid w:val="001E2B04"/>
    <w:rsid w:val="001E3DA8"/>
    <w:rsid w:val="001E6C02"/>
    <w:rsid w:val="001E78BA"/>
    <w:rsid w:val="001F074C"/>
    <w:rsid w:val="001F1C78"/>
    <w:rsid w:val="001F55F6"/>
    <w:rsid w:val="0020459D"/>
    <w:rsid w:val="0020696C"/>
    <w:rsid w:val="002074D6"/>
    <w:rsid w:val="002115F3"/>
    <w:rsid w:val="00211A1D"/>
    <w:rsid w:val="00215271"/>
    <w:rsid w:val="00215368"/>
    <w:rsid w:val="00215B04"/>
    <w:rsid w:val="00217832"/>
    <w:rsid w:val="00230277"/>
    <w:rsid w:val="00235306"/>
    <w:rsid w:val="00235CCC"/>
    <w:rsid w:val="002372A8"/>
    <w:rsid w:val="00240401"/>
    <w:rsid w:val="002435AB"/>
    <w:rsid w:val="00252D33"/>
    <w:rsid w:val="002549A2"/>
    <w:rsid w:val="00263D21"/>
    <w:rsid w:val="002670E6"/>
    <w:rsid w:val="0026715B"/>
    <w:rsid w:val="002729E1"/>
    <w:rsid w:val="00272AB7"/>
    <w:rsid w:val="00272C04"/>
    <w:rsid w:val="002768AB"/>
    <w:rsid w:val="00280C84"/>
    <w:rsid w:val="00280E2A"/>
    <w:rsid w:val="00282CF3"/>
    <w:rsid w:val="002863B2"/>
    <w:rsid w:val="0029461D"/>
    <w:rsid w:val="00295380"/>
    <w:rsid w:val="002A4CD9"/>
    <w:rsid w:val="002A5867"/>
    <w:rsid w:val="002A6089"/>
    <w:rsid w:val="002A691F"/>
    <w:rsid w:val="002A70F7"/>
    <w:rsid w:val="002B215D"/>
    <w:rsid w:val="002B2EBF"/>
    <w:rsid w:val="002C043A"/>
    <w:rsid w:val="002C15A4"/>
    <w:rsid w:val="002C3529"/>
    <w:rsid w:val="002D1921"/>
    <w:rsid w:val="002D3DE5"/>
    <w:rsid w:val="002D3E20"/>
    <w:rsid w:val="002D4D50"/>
    <w:rsid w:val="002D659B"/>
    <w:rsid w:val="002D6C6A"/>
    <w:rsid w:val="002D7202"/>
    <w:rsid w:val="002E1BEA"/>
    <w:rsid w:val="002E7B75"/>
    <w:rsid w:val="00303C78"/>
    <w:rsid w:val="00304210"/>
    <w:rsid w:val="00304ACD"/>
    <w:rsid w:val="003079EB"/>
    <w:rsid w:val="003129A0"/>
    <w:rsid w:val="003151E7"/>
    <w:rsid w:val="00321987"/>
    <w:rsid w:val="00336586"/>
    <w:rsid w:val="003412C2"/>
    <w:rsid w:val="00344AA8"/>
    <w:rsid w:val="00347789"/>
    <w:rsid w:val="003507A3"/>
    <w:rsid w:val="003508B6"/>
    <w:rsid w:val="00351DA5"/>
    <w:rsid w:val="00352558"/>
    <w:rsid w:val="00356BBE"/>
    <w:rsid w:val="00356CFD"/>
    <w:rsid w:val="003571A1"/>
    <w:rsid w:val="003619B2"/>
    <w:rsid w:val="0036293A"/>
    <w:rsid w:val="0036576A"/>
    <w:rsid w:val="00367E45"/>
    <w:rsid w:val="0037141B"/>
    <w:rsid w:val="0037404C"/>
    <w:rsid w:val="00376193"/>
    <w:rsid w:val="00377C28"/>
    <w:rsid w:val="00380272"/>
    <w:rsid w:val="00383F0E"/>
    <w:rsid w:val="003A6E5D"/>
    <w:rsid w:val="003A7F72"/>
    <w:rsid w:val="003B1844"/>
    <w:rsid w:val="003B18DE"/>
    <w:rsid w:val="003B2FEB"/>
    <w:rsid w:val="003B3CF2"/>
    <w:rsid w:val="003B4229"/>
    <w:rsid w:val="003C091E"/>
    <w:rsid w:val="003C7313"/>
    <w:rsid w:val="003D05A0"/>
    <w:rsid w:val="003D3A56"/>
    <w:rsid w:val="003E27A1"/>
    <w:rsid w:val="003E73B2"/>
    <w:rsid w:val="003F0DB5"/>
    <w:rsid w:val="003F165D"/>
    <w:rsid w:val="003F1A67"/>
    <w:rsid w:val="003F3725"/>
    <w:rsid w:val="003F4681"/>
    <w:rsid w:val="003F68D8"/>
    <w:rsid w:val="003F6D04"/>
    <w:rsid w:val="003F76CB"/>
    <w:rsid w:val="00401337"/>
    <w:rsid w:val="00403E1E"/>
    <w:rsid w:val="00405D83"/>
    <w:rsid w:val="00415460"/>
    <w:rsid w:val="004209F4"/>
    <w:rsid w:val="00430C8F"/>
    <w:rsid w:val="00430F54"/>
    <w:rsid w:val="004319F0"/>
    <w:rsid w:val="00433370"/>
    <w:rsid w:val="00436F24"/>
    <w:rsid w:val="00437A35"/>
    <w:rsid w:val="0044178C"/>
    <w:rsid w:val="00442EEF"/>
    <w:rsid w:val="00443D4A"/>
    <w:rsid w:val="004449C6"/>
    <w:rsid w:val="00445880"/>
    <w:rsid w:val="00446C8A"/>
    <w:rsid w:val="00446D3A"/>
    <w:rsid w:val="00460F42"/>
    <w:rsid w:val="004656D7"/>
    <w:rsid w:val="00466DD3"/>
    <w:rsid w:val="004774F8"/>
    <w:rsid w:val="00477768"/>
    <w:rsid w:val="004801F2"/>
    <w:rsid w:val="00480EE5"/>
    <w:rsid w:val="00481820"/>
    <w:rsid w:val="00482128"/>
    <w:rsid w:val="004822E1"/>
    <w:rsid w:val="004903B2"/>
    <w:rsid w:val="00490EAC"/>
    <w:rsid w:val="004A09A0"/>
    <w:rsid w:val="004A216D"/>
    <w:rsid w:val="004A39AB"/>
    <w:rsid w:val="004A78C8"/>
    <w:rsid w:val="004A7ADE"/>
    <w:rsid w:val="004B1B8B"/>
    <w:rsid w:val="004B31BF"/>
    <w:rsid w:val="004B50D9"/>
    <w:rsid w:val="004B5DB0"/>
    <w:rsid w:val="004C0288"/>
    <w:rsid w:val="004C0C8B"/>
    <w:rsid w:val="004C23F4"/>
    <w:rsid w:val="004C4A01"/>
    <w:rsid w:val="004D050A"/>
    <w:rsid w:val="004D2845"/>
    <w:rsid w:val="004E0353"/>
    <w:rsid w:val="004E1B2A"/>
    <w:rsid w:val="004E2311"/>
    <w:rsid w:val="004E25BE"/>
    <w:rsid w:val="004E3337"/>
    <w:rsid w:val="004E566E"/>
    <w:rsid w:val="004F1E8F"/>
    <w:rsid w:val="004F6DB9"/>
    <w:rsid w:val="004F6E7E"/>
    <w:rsid w:val="004F7F6D"/>
    <w:rsid w:val="00502E45"/>
    <w:rsid w:val="005033DD"/>
    <w:rsid w:val="005051B1"/>
    <w:rsid w:val="00505771"/>
    <w:rsid w:val="00513668"/>
    <w:rsid w:val="005208E0"/>
    <w:rsid w:val="00520DC9"/>
    <w:rsid w:val="005213C2"/>
    <w:rsid w:val="0052318E"/>
    <w:rsid w:val="0052335F"/>
    <w:rsid w:val="005242BC"/>
    <w:rsid w:val="005252AF"/>
    <w:rsid w:val="0052575F"/>
    <w:rsid w:val="005330E9"/>
    <w:rsid w:val="005412B8"/>
    <w:rsid w:val="00541634"/>
    <w:rsid w:val="00541EB0"/>
    <w:rsid w:val="00543552"/>
    <w:rsid w:val="005617FD"/>
    <w:rsid w:val="00563D49"/>
    <w:rsid w:val="00564B9E"/>
    <w:rsid w:val="005658E5"/>
    <w:rsid w:val="00572076"/>
    <w:rsid w:val="00582056"/>
    <w:rsid w:val="00584C25"/>
    <w:rsid w:val="005B0E11"/>
    <w:rsid w:val="005B268D"/>
    <w:rsid w:val="005B4ABF"/>
    <w:rsid w:val="005B4C2A"/>
    <w:rsid w:val="005C1645"/>
    <w:rsid w:val="005C6B34"/>
    <w:rsid w:val="005D48C9"/>
    <w:rsid w:val="005E0C1B"/>
    <w:rsid w:val="005E66E5"/>
    <w:rsid w:val="00601DB7"/>
    <w:rsid w:val="00602496"/>
    <w:rsid w:val="00605E89"/>
    <w:rsid w:val="00611409"/>
    <w:rsid w:val="006126D9"/>
    <w:rsid w:val="00620A30"/>
    <w:rsid w:val="006239A5"/>
    <w:rsid w:val="00625041"/>
    <w:rsid w:val="0063051F"/>
    <w:rsid w:val="00634D87"/>
    <w:rsid w:val="006360A8"/>
    <w:rsid w:val="00637B4C"/>
    <w:rsid w:val="00645632"/>
    <w:rsid w:val="00645F81"/>
    <w:rsid w:val="00655DB7"/>
    <w:rsid w:val="00655EA1"/>
    <w:rsid w:val="006611A3"/>
    <w:rsid w:val="0066158A"/>
    <w:rsid w:val="0066176E"/>
    <w:rsid w:val="00662768"/>
    <w:rsid w:val="00666328"/>
    <w:rsid w:val="006673CA"/>
    <w:rsid w:val="00667EC0"/>
    <w:rsid w:val="0067252E"/>
    <w:rsid w:val="00673440"/>
    <w:rsid w:val="0067471E"/>
    <w:rsid w:val="00683481"/>
    <w:rsid w:val="006841C2"/>
    <w:rsid w:val="0068456A"/>
    <w:rsid w:val="00686F32"/>
    <w:rsid w:val="00691D2C"/>
    <w:rsid w:val="00692338"/>
    <w:rsid w:val="0069314C"/>
    <w:rsid w:val="00693F7F"/>
    <w:rsid w:val="006948E7"/>
    <w:rsid w:val="00696BA7"/>
    <w:rsid w:val="00696D2A"/>
    <w:rsid w:val="006A044B"/>
    <w:rsid w:val="006A2560"/>
    <w:rsid w:val="006A3675"/>
    <w:rsid w:val="006B0256"/>
    <w:rsid w:val="006B0D93"/>
    <w:rsid w:val="006B2448"/>
    <w:rsid w:val="006B2FE6"/>
    <w:rsid w:val="006B382B"/>
    <w:rsid w:val="006B493A"/>
    <w:rsid w:val="006B6451"/>
    <w:rsid w:val="006C33F7"/>
    <w:rsid w:val="006C604F"/>
    <w:rsid w:val="006C62D8"/>
    <w:rsid w:val="006D2B19"/>
    <w:rsid w:val="006D2DD8"/>
    <w:rsid w:val="006D681F"/>
    <w:rsid w:val="006D69DB"/>
    <w:rsid w:val="006D714C"/>
    <w:rsid w:val="006D7790"/>
    <w:rsid w:val="006D7BEF"/>
    <w:rsid w:val="006E4A19"/>
    <w:rsid w:val="006E5BC2"/>
    <w:rsid w:val="006E767D"/>
    <w:rsid w:val="006F0E1F"/>
    <w:rsid w:val="006F3CFA"/>
    <w:rsid w:val="006F5FE0"/>
    <w:rsid w:val="006F63F6"/>
    <w:rsid w:val="007010AA"/>
    <w:rsid w:val="0070327F"/>
    <w:rsid w:val="0070533E"/>
    <w:rsid w:val="00711EF0"/>
    <w:rsid w:val="007145D1"/>
    <w:rsid w:val="0071508E"/>
    <w:rsid w:val="00715A44"/>
    <w:rsid w:val="007247D0"/>
    <w:rsid w:val="007248A3"/>
    <w:rsid w:val="00724DA9"/>
    <w:rsid w:val="007324AD"/>
    <w:rsid w:val="00734BF8"/>
    <w:rsid w:val="00737322"/>
    <w:rsid w:val="0074058A"/>
    <w:rsid w:val="00741C6A"/>
    <w:rsid w:val="0074320B"/>
    <w:rsid w:val="00745766"/>
    <w:rsid w:val="00752C12"/>
    <w:rsid w:val="0075333B"/>
    <w:rsid w:val="00764BAE"/>
    <w:rsid w:val="00764F31"/>
    <w:rsid w:val="0077341C"/>
    <w:rsid w:val="007740A8"/>
    <w:rsid w:val="00774238"/>
    <w:rsid w:val="00792178"/>
    <w:rsid w:val="00792DF6"/>
    <w:rsid w:val="0079347F"/>
    <w:rsid w:val="00793CE6"/>
    <w:rsid w:val="007A0FE5"/>
    <w:rsid w:val="007A3367"/>
    <w:rsid w:val="007A6D13"/>
    <w:rsid w:val="007A6F7C"/>
    <w:rsid w:val="007B23EA"/>
    <w:rsid w:val="007B2A31"/>
    <w:rsid w:val="007B2B91"/>
    <w:rsid w:val="007B58C3"/>
    <w:rsid w:val="007B5D06"/>
    <w:rsid w:val="007C083E"/>
    <w:rsid w:val="007C0A9C"/>
    <w:rsid w:val="007C226A"/>
    <w:rsid w:val="007C4D3A"/>
    <w:rsid w:val="007C6EC5"/>
    <w:rsid w:val="007D0776"/>
    <w:rsid w:val="007D1082"/>
    <w:rsid w:val="007D7059"/>
    <w:rsid w:val="007E688B"/>
    <w:rsid w:val="007E6C53"/>
    <w:rsid w:val="007E73BA"/>
    <w:rsid w:val="007F2405"/>
    <w:rsid w:val="007F3F2C"/>
    <w:rsid w:val="007F5126"/>
    <w:rsid w:val="007F5924"/>
    <w:rsid w:val="008006ED"/>
    <w:rsid w:val="00800BD3"/>
    <w:rsid w:val="00804EE8"/>
    <w:rsid w:val="008077D4"/>
    <w:rsid w:val="0081570E"/>
    <w:rsid w:val="00817190"/>
    <w:rsid w:val="0082080B"/>
    <w:rsid w:val="008219CC"/>
    <w:rsid w:val="00831835"/>
    <w:rsid w:val="008412A5"/>
    <w:rsid w:val="008431A3"/>
    <w:rsid w:val="008447E8"/>
    <w:rsid w:val="00846293"/>
    <w:rsid w:val="00850CFC"/>
    <w:rsid w:val="00862C98"/>
    <w:rsid w:val="00865856"/>
    <w:rsid w:val="0087058C"/>
    <w:rsid w:val="008723F4"/>
    <w:rsid w:val="008765DC"/>
    <w:rsid w:val="00876BC9"/>
    <w:rsid w:val="00881D80"/>
    <w:rsid w:val="008923A9"/>
    <w:rsid w:val="008A2DA1"/>
    <w:rsid w:val="008A3633"/>
    <w:rsid w:val="008A413B"/>
    <w:rsid w:val="008A610B"/>
    <w:rsid w:val="008A6F55"/>
    <w:rsid w:val="008B4227"/>
    <w:rsid w:val="008C106E"/>
    <w:rsid w:val="008C1D5F"/>
    <w:rsid w:val="008C436D"/>
    <w:rsid w:val="008D157F"/>
    <w:rsid w:val="008D7AA5"/>
    <w:rsid w:val="008E1412"/>
    <w:rsid w:val="008F085A"/>
    <w:rsid w:val="008F0D9F"/>
    <w:rsid w:val="008F3F03"/>
    <w:rsid w:val="008F72EA"/>
    <w:rsid w:val="00901FAD"/>
    <w:rsid w:val="009020E0"/>
    <w:rsid w:val="00905AB8"/>
    <w:rsid w:val="009101C1"/>
    <w:rsid w:val="0091208C"/>
    <w:rsid w:val="0091228C"/>
    <w:rsid w:val="009139C1"/>
    <w:rsid w:val="00913E4D"/>
    <w:rsid w:val="00917571"/>
    <w:rsid w:val="00917D1D"/>
    <w:rsid w:val="0092075D"/>
    <w:rsid w:val="00922128"/>
    <w:rsid w:val="00923239"/>
    <w:rsid w:val="00927430"/>
    <w:rsid w:val="0093002D"/>
    <w:rsid w:val="00933F95"/>
    <w:rsid w:val="00940AB9"/>
    <w:rsid w:val="00941AFB"/>
    <w:rsid w:val="0094773C"/>
    <w:rsid w:val="00953421"/>
    <w:rsid w:val="00956ADF"/>
    <w:rsid w:val="0096299E"/>
    <w:rsid w:val="0097685C"/>
    <w:rsid w:val="00976B0A"/>
    <w:rsid w:val="00977BAA"/>
    <w:rsid w:val="00981719"/>
    <w:rsid w:val="00985351"/>
    <w:rsid w:val="009878E2"/>
    <w:rsid w:val="009A1D67"/>
    <w:rsid w:val="009A357A"/>
    <w:rsid w:val="009A6630"/>
    <w:rsid w:val="009A742D"/>
    <w:rsid w:val="009B0229"/>
    <w:rsid w:val="009B2CE6"/>
    <w:rsid w:val="009B44C1"/>
    <w:rsid w:val="009B6FAC"/>
    <w:rsid w:val="009D3E33"/>
    <w:rsid w:val="009E14D3"/>
    <w:rsid w:val="009F68BB"/>
    <w:rsid w:val="00A0212E"/>
    <w:rsid w:val="00A2762F"/>
    <w:rsid w:val="00A35221"/>
    <w:rsid w:val="00A3693B"/>
    <w:rsid w:val="00A4006D"/>
    <w:rsid w:val="00A401BE"/>
    <w:rsid w:val="00A40B19"/>
    <w:rsid w:val="00A429ED"/>
    <w:rsid w:val="00A47085"/>
    <w:rsid w:val="00A52332"/>
    <w:rsid w:val="00A53F90"/>
    <w:rsid w:val="00A54EDE"/>
    <w:rsid w:val="00A56894"/>
    <w:rsid w:val="00A6766C"/>
    <w:rsid w:val="00A707BC"/>
    <w:rsid w:val="00A70D79"/>
    <w:rsid w:val="00A8244E"/>
    <w:rsid w:val="00A82865"/>
    <w:rsid w:val="00A83D94"/>
    <w:rsid w:val="00A856A0"/>
    <w:rsid w:val="00A9063E"/>
    <w:rsid w:val="00A9161D"/>
    <w:rsid w:val="00A95F1C"/>
    <w:rsid w:val="00A963E3"/>
    <w:rsid w:val="00A96919"/>
    <w:rsid w:val="00AA484C"/>
    <w:rsid w:val="00AA5229"/>
    <w:rsid w:val="00AA64CD"/>
    <w:rsid w:val="00AA7946"/>
    <w:rsid w:val="00AB3C69"/>
    <w:rsid w:val="00AB50E9"/>
    <w:rsid w:val="00AC1164"/>
    <w:rsid w:val="00AC175C"/>
    <w:rsid w:val="00AD3679"/>
    <w:rsid w:val="00AD4464"/>
    <w:rsid w:val="00AE2916"/>
    <w:rsid w:val="00AE51FB"/>
    <w:rsid w:val="00AE72B4"/>
    <w:rsid w:val="00AF392F"/>
    <w:rsid w:val="00B020F6"/>
    <w:rsid w:val="00B049F2"/>
    <w:rsid w:val="00B064C5"/>
    <w:rsid w:val="00B15FDD"/>
    <w:rsid w:val="00B21C8D"/>
    <w:rsid w:val="00B233DF"/>
    <w:rsid w:val="00B2530D"/>
    <w:rsid w:val="00B25CB5"/>
    <w:rsid w:val="00B31524"/>
    <w:rsid w:val="00B474D0"/>
    <w:rsid w:val="00B47DF7"/>
    <w:rsid w:val="00B5094D"/>
    <w:rsid w:val="00B52157"/>
    <w:rsid w:val="00B572E7"/>
    <w:rsid w:val="00B63520"/>
    <w:rsid w:val="00B64888"/>
    <w:rsid w:val="00B668B8"/>
    <w:rsid w:val="00B715B1"/>
    <w:rsid w:val="00B71940"/>
    <w:rsid w:val="00B741AA"/>
    <w:rsid w:val="00B844A1"/>
    <w:rsid w:val="00B845B1"/>
    <w:rsid w:val="00B8735C"/>
    <w:rsid w:val="00B906B4"/>
    <w:rsid w:val="00B92733"/>
    <w:rsid w:val="00B941C4"/>
    <w:rsid w:val="00B96481"/>
    <w:rsid w:val="00BA0A8E"/>
    <w:rsid w:val="00BA2439"/>
    <w:rsid w:val="00BA75DE"/>
    <w:rsid w:val="00BB1366"/>
    <w:rsid w:val="00BB217D"/>
    <w:rsid w:val="00BB2FAB"/>
    <w:rsid w:val="00BB3136"/>
    <w:rsid w:val="00BC661C"/>
    <w:rsid w:val="00BD1634"/>
    <w:rsid w:val="00BD1BFF"/>
    <w:rsid w:val="00BD4CBB"/>
    <w:rsid w:val="00BD5C55"/>
    <w:rsid w:val="00BD62EB"/>
    <w:rsid w:val="00BD7BE5"/>
    <w:rsid w:val="00BE229F"/>
    <w:rsid w:val="00BE328A"/>
    <w:rsid w:val="00BE42FC"/>
    <w:rsid w:val="00BE584D"/>
    <w:rsid w:val="00BE699D"/>
    <w:rsid w:val="00BF1A84"/>
    <w:rsid w:val="00BF1D65"/>
    <w:rsid w:val="00BF34CC"/>
    <w:rsid w:val="00C12B30"/>
    <w:rsid w:val="00C12DD4"/>
    <w:rsid w:val="00C2493A"/>
    <w:rsid w:val="00C2505D"/>
    <w:rsid w:val="00C2595F"/>
    <w:rsid w:val="00C27CDF"/>
    <w:rsid w:val="00C32D2F"/>
    <w:rsid w:val="00C350B6"/>
    <w:rsid w:val="00C437CB"/>
    <w:rsid w:val="00C43C8F"/>
    <w:rsid w:val="00C44D7F"/>
    <w:rsid w:val="00C44FE1"/>
    <w:rsid w:val="00C4500C"/>
    <w:rsid w:val="00C519A8"/>
    <w:rsid w:val="00C616AD"/>
    <w:rsid w:val="00C62F09"/>
    <w:rsid w:val="00C6791C"/>
    <w:rsid w:val="00C7350E"/>
    <w:rsid w:val="00C77D38"/>
    <w:rsid w:val="00C83527"/>
    <w:rsid w:val="00C8680D"/>
    <w:rsid w:val="00C875D8"/>
    <w:rsid w:val="00C877CD"/>
    <w:rsid w:val="00C9142B"/>
    <w:rsid w:val="00C94662"/>
    <w:rsid w:val="00C96CD5"/>
    <w:rsid w:val="00CA02BF"/>
    <w:rsid w:val="00CA0A2E"/>
    <w:rsid w:val="00CA2347"/>
    <w:rsid w:val="00CA3D61"/>
    <w:rsid w:val="00CA3EB1"/>
    <w:rsid w:val="00CB3747"/>
    <w:rsid w:val="00CB5CDC"/>
    <w:rsid w:val="00CB65D6"/>
    <w:rsid w:val="00CC053E"/>
    <w:rsid w:val="00CC1304"/>
    <w:rsid w:val="00CC7BF2"/>
    <w:rsid w:val="00CD00C0"/>
    <w:rsid w:val="00CE42A2"/>
    <w:rsid w:val="00CE5620"/>
    <w:rsid w:val="00CE598C"/>
    <w:rsid w:val="00CF303F"/>
    <w:rsid w:val="00CF4D1D"/>
    <w:rsid w:val="00CF578B"/>
    <w:rsid w:val="00D03038"/>
    <w:rsid w:val="00D0679C"/>
    <w:rsid w:val="00D06A0C"/>
    <w:rsid w:val="00D11056"/>
    <w:rsid w:val="00D1550C"/>
    <w:rsid w:val="00D21D31"/>
    <w:rsid w:val="00D2333E"/>
    <w:rsid w:val="00D27445"/>
    <w:rsid w:val="00D2784F"/>
    <w:rsid w:val="00D27F47"/>
    <w:rsid w:val="00D30A13"/>
    <w:rsid w:val="00D30C5B"/>
    <w:rsid w:val="00D34EA3"/>
    <w:rsid w:val="00D40D87"/>
    <w:rsid w:val="00D41F55"/>
    <w:rsid w:val="00D4283E"/>
    <w:rsid w:val="00D46ABA"/>
    <w:rsid w:val="00D51ED2"/>
    <w:rsid w:val="00D52DA9"/>
    <w:rsid w:val="00D52E15"/>
    <w:rsid w:val="00D534FF"/>
    <w:rsid w:val="00D64990"/>
    <w:rsid w:val="00D64F6F"/>
    <w:rsid w:val="00D80D85"/>
    <w:rsid w:val="00D80EC2"/>
    <w:rsid w:val="00D81087"/>
    <w:rsid w:val="00D85D60"/>
    <w:rsid w:val="00D8762A"/>
    <w:rsid w:val="00D90088"/>
    <w:rsid w:val="00D9633E"/>
    <w:rsid w:val="00DA0EF6"/>
    <w:rsid w:val="00DA381B"/>
    <w:rsid w:val="00DA3DAD"/>
    <w:rsid w:val="00DA5942"/>
    <w:rsid w:val="00DB05C3"/>
    <w:rsid w:val="00DD5C2D"/>
    <w:rsid w:val="00DD7657"/>
    <w:rsid w:val="00DE180D"/>
    <w:rsid w:val="00DE4A67"/>
    <w:rsid w:val="00DF42CD"/>
    <w:rsid w:val="00DF4389"/>
    <w:rsid w:val="00DF6546"/>
    <w:rsid w:val="00DF678F"/>
    <w:rsid w:val="00DF68F1"/>
    <w:rsid w:val="00DF761C"/>
    <w:rsid w:val="00DF7CBD"/>
    <w:rsid w:val="00E0110A"/>
    <w:rsid w:val="00E054E0"/>
    <w:rsid w:val="00E10144"/>
    <w:rsid w:val="00E1042F"/>
    <w:rsid w:val="00E14911"/>
    <w:rsid w:val="00E16B72"/>
    <w:rsid w:val="00E34D15"/>
    <w:rsid w:val="00E35505"/>
    <w:rsid w:val="00E35FB9"/>
    <w:rsid w:val="00E377E4"/>
    <w:rsid w:val="00E4308F"/>
    <w:rsid w:val="00E44D1B"/>
    <w:rsid w:val="00E53049"/>
    <w:rsid w:val="00E5699D"/>
    <w:rsid w:val="00E56BE7"/>
    <w:rsid w:val="00E56DAA"/>
    <w:rsid w:val="00E6045C"/>
    <w:rsid w:val="00E607F8"/>
    <w:rsid w:val="00E61358"/>
    <w:rsid w:val="00E62EB6"/>
    <w:rsid w:val="00E6380E"/>
    <w:rsid w:val="00E718D0"/>
    <w:rsid w:val="00E747A0"/>
    <w:rsid w:val="00E74C1E"/>
    <w:rsid w:val="00E7685C"/>
    <w:rsid w:val="00E86B6C"/>
    <w:rsid w:val="00E93BF5"/>
    <w:rsid w:val="00E97BD0"/>
    <w:rsid w:val="00EA20EF"/>
    <w:rsid w:val="00EA7168"/>
    <w:rsid w:val="00EB0FE3"/>
    <w:rsid w:val="00EB2648"/>
    <w:rsid w:val="00EB28CC"/>
    <w:rsid w:val="00EB309E"/>
    <w:rsid w:val="00EB392D"/>
    <w:rsid w:val="00EB73A5"/>
    <w:rsid w:val="00ED125E"/>
    <w:rsid w:val="00ED197C"/>
    <w:rsid w:val="00ED42D2"/>
    <w:rsid w:val="00ED5CE1"/>
    <w:rsid w:val="00EE0851"/>
    <w:rsid w:val="00EE2758"/>
    <w:rsid w:val="00EE5ACA"/>
    <w:rsid w:val="00EE74EB"/>
    <w:rsid w:val="00EF390C"/>
    <w:rsid w:val="00EF5052"/>
    <w:rsid w:val="00EF6DDD"/>
    <w:rsid w:val="00F026C6"/>
    <w:rsid w:val="00F122F5"/>
    <w:rsid w:val="00F14DB5"/>
    <w:rsid w:val="00F155E1"/>
    <w:rsid w:val="00F23767"/>
    <w:rsid w:val="00F239C2"/>
    <w:rsid w:val="00F369C9"/>
    <w:rsid w:val="00F421ED"/>
    <w:rsid w:val="00F42855"/>
    <w:rsid w:val="00F43612"/>
    <w:rsid w:val="00F47800"/>
    <w:rsid w:val="00F55A64"/>
    <w:rsid w:val="00F57FD6"/>
    <w:rsid w:val="00F7030B"/>
    <w:rsid w:val="00F759CA"/>
    <w:rsid w:val="00F80278"/>
    <w:rsid w:val="00F813F8"/>
    <w:rsid w:val="00F81AF6"/>
    <w:rsid w:val="00F81D07"/>
    <w:rsid w:val="00F831B5"/>
    <w:rsid w:val="00F85B0C"/>
    <w:rsid w:val="00F86389"/>
    <w:rsid w:val="00F874CB"/>
    <w:rsid w:val="00F9155F"/>
    <w:rsid w:val="00F92573"/>
    <w:rsid w:val="00F92B0E"/>
    <w:rsid w:val="00F94A46"/>
    <w:rsid w:val="00F955A4"/>
    <w:rsid w:val="00F97443"/>
    <w:rsid w:val="00FA5944"/>
    <w:rsid w:val="00FB0312"/>
    <w:rsid w:val="00FB480E"/>
    <w:rsid w:val="00FB49D8"/>
    <w:rsid w:val="00FB62BB"/>
    <w:rsid w:val="00FB6BE3"/>
    <w:rsid w:val="00FB76A8"/>
    <w:rsid w:val="00FC0CF4"/>
    <w:rsid w:val="00FC341A"/>
    <w:rsid w:val="00FC49A5"/>
    <w:rsid w:val="00FC4A79"/>
    <w:rsid w:val="00FD4E96"/>
    <w:rsid w:val="00FD60CF"/>
    <w:rsid w:val="00FD7A31"/>
    <w:rsid w:val="00FE1015"/>
    <w:rsid w:val="00FE4DB1"/>
    <w:rsid w:val="00FF0C5C"/>
    <w:rsid w:val="00FF0EB8"/>
    <w:rsid w:val="00FF2487"/>
    <w:rsid w:val="00FF3B09"/>
    <w:rsid w:val="00FF57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DFCA01"/>
  <w15:chartTrackingRefBased/>
  <w15:docId w15:val="{0720CA7E-3185-495B-B812-978286BA2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3D49"/>
  </w:style>
  <w:style w:type="paragraph" w:styleId="Ttulo1">
    <w:name w:val="heading 1"/>
    <w:basedOn w:val="Normal"/>
    <w:next w:val="Normal"/>
    <w:qFormat/>
    <w:rsid w:val="00563D49"/>
    <w:pPr>
      <w:keepNext/>
      <w:jc w:val="both"/>
      <w:outlineLvl w:val="0"/>
    </w:pPr>
    <w:rPr>
      <w:b/>
      <w:sz w:val="22"/>
    </w:rPr>
  </w:style>
  <w:style w:type="paragraph" w:styleId="Ttulo2">
    <w:name w:val="heading 2"/>
    <w:basedOn w:val="Normal"/>
    <w:next w:val="Normal"/>
    <w:qFormat/>
    <w:rsid w:val="00563D49"/>
    <w:pPr>
      <w:keepNext/>
      <w:jc w:val="center"/>
      <w:outlineLvl w:val="1"/>
    </w:pPr>
    <w:rPr>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563D49"/>
    <w:rPr>
      <w:sz w:val="24"/>
    </w:rPr>
  </w:style>
  <w:style w:type="paragraph" w:styleId="Corpodetexto2">
    <w:name w:val="Body Text 2"/>
    <w:basedOn w:val="Normal"/>
    <w:rsid w:val="00563D49"/>
    <w:rPr>
      <w:sz w:val="22"/>
    </w:rPr>
  </w:style>
  <w:style w:type="paragraph" w:styleId="Textodenotaderodap">
    <w:name w:val="footnote text"/>
    <w:basedOn w:val="Normal"/>
    <w:semiHidden/>
    <w:rsid w:val="00563D49"/>
  </w:style>
  <w:style w:type="character" w:styleId="Refdenotaderodap">
    <w:name w:val="footnote reference"/>
    <w:semiHidden/>
    <w:rsid w:val="00563D49"/>
    <w:rPr>
      <w:vertAlign w:val="superscript"/>
    </w:rPr>
  </w:style>
  <w:style w:type="paragraph" w:styleId="Cabealho">
    <w:name w:val="header"/>
    <w:basedOn w:val="Normal"/>
    <w:rsid w:val="00563D49"/>
    <w:pPr>
      <w:tabs>
        <w:tab w:val="center" w:pos="4419"/>
        <w:tab w:val="right" w:pos="8838"/>
      </w:tabs>
    </w:pPr>
  </w:style>
  <w:style w:type="paragraph" w:styleId="Rodap">
    <w:name w:val="footer"/>
    <w:basedOn w:val="Normal"/>
    <w:rsid w:val="00563D49"/>
    <w:pPr>
      <w:tabs>
        <w:tab w:val="center" w:pos="4419"/>
        <w:tab w:val="right" w:pos="8838"/>
      </w:tabs>
    </w:pPr>
  </w:style>
  <w:style w:type="character" w:styleId="Hyperlink">
    <w:name w:val="Hyperlink"/>
    <w:uiPriority w:val="99"/>
    <w:rsid w:val="00563D49"/>
    <w:rPr>
      <w:color w:val="0000FF"/>
      <w:u w:val="single"/>
    </w:rPr>
  </w:style>
  <w:style w:type="paragraph" w:styleId="Legenda">
    <w:name w:val="caption"/>
    <w:basedOn w:val="Normal"/>
    <w:next w:val="Normal"/>
    <w:uiPriority w:val="35"/>
    <w:unhideWhenUsed/>
    <w:qFormat/>
    <w:rsid w:val="009020E0"/>
    <w:pPr>
      <w:suppressAutoHyphens/>
    </w:pPr>
    <w:rPr>
      <w:rFonts w:eastAsia="SimSun"/>
      <w:b/>
      <w:bCs/>
      <w:lang w:val="en-US" w:eastAsia="ar-SA"/>
    </w:rPr>
  </w:style>
  <w:style w:type="paragraph" w:customStyle="1" w:styleId="Default">
    <w:name w:val="Default"/>
    <w:rsid w:val="009B44C1"/>
    <w:pPr>
      <w:autoSpaceDE w:val="0"/>
      <w:autoSpaceDN w:val="0"/>
      <w:adjustRightInd w:val="0"/>
    </w:pPr>
    <w:rPr>
      <w:color w:val="000000"/>
      <w:sz w:val="24"/>
      <w:szCs w:val="24"/>
    </w:rPr>
  </w:style>
  <w:style w:type="paragraph" w:styleId="NormalWeb">
    <w:name w:val="Normal (Web)"/>
    <w:basedOn w:val="Normal"/>
    <w:uiPriority w:val="99"/>
    <w:unhideWhenUsed/>
    <w:rsid w:val="009B44C1"/>
    <w:pPr>
      <w:spacing w:before="100" w:beforeAutospacing="1" w:after="100" w:afterAutospacing="1"/>
    </w:pPr>
    <w:rPr>
      <w:sz w:val="24"/>
      <w:szCs w:val="24"/>
    </w:rPr>
  </w:style>
  <w:style w:type="paragraph" w:styleId="Ttulo">
    <w:name w:val="Title"/>
    <w:basedOn w:val="Normal"/>
    <w:link w:val="TtuloChar"/>
    <w:qFormat/>
    <w:rsid w:val="00686F32"/>
    <w:pPr>
      <w:jc w:val="center"/>
    </w:pPr>
    <w:rPr>
      <w:b/>
      <w:bCs/>
      <w:sz w:val="24"/>
      <w:szCs w:val="24"/>
      <w:u w:val="single"/>
      <w:lang w:val="x-none" w:eastAsia="en-US"/>
    </w:rPr>
  </w:style>
  <w:style w:type="character" w:customStyle="1" w:styleId="TtuloChar">
    <w:name w:val="Título Char"/>
    <w:link w:val="Ttulo"/>
    <w:rsid w:val="00686F32"/>
    <w:rPr>
      <w:b/>
      <w:bCs/>
      <w:sz w:val="24"/>
      <w:szCs w:val="24"/>
      <w:u w:val="single"/>
      <w:lang w:eastAsia="en-US"/>
    </w:rPr>
  </w:style>
  <w:style w:type="paragraph" w:customStyle="1" w:styleId="Text">
    <w:name w:val="Text"/>
    <w:basedOn w:val="Normal"/>
    <w:rsid w:val="00FB49D8"/>
    <w:pPr>
      <w:widowControl w:val="0"/>
      <w:autoSpaceDE w:val="0"/>
      <w:autoSpaceDN w:val="0"/>
      <w:spacing w:line="252" w:lineRule="auto"/>
      <w:ind w:firstLine="202"/>
      <w:jc w:val="both"/>
    </w:pPr>
    <w:rPr>
      <w:lang w:val="en-US" w:eastAsia="en-US"/>
    </w:rPr>
  </w:style>
  <w:style w:type="character" w:customStyle="1" w:styleId="A1">
    <w:name w:val="A1"/>
    <w:uiPriority w:val="99"/>
    <w:rsid w:val="00FB49D8"/>
    <w:rPr>
      <w:color w:val="000000"/>
      <w:sz w:val="20"/>
      <w:szCs w:val="20"/>
    </w:rPr>
  </w:style>
  <w:style w:type="character" w:customStyle="1" w:styleId="A2">
    <w:name w:val="A2"/>
    <w:uiPriority w:val="99"/>
    <w:rsid w:val="00FB49D8"/>
    <w:rPr>
      <w:color w:val="000000"/>
      <w:sz w:val="11"/>
      <w:szCs w:val="11"/>
    </w:rPr>
  </w:style>
  <w:style w:type="paragraph" w:styleId="TextosemFormatao">
    <w:name w:val="Plain Text"/>
    <w:basedOn w:val="Normal"/>
    <w:link w:val="TextosemFormataoChar"/>
    <w:unhideWhenUsed/>
    <w:rsid w:val="004822E1"/>
    <w:pPr>
      <w:spacing w:beforeAutospacing="1" w:afterAutospacing="1"/>
      <w:jc w:val="both"/>
    </w:pPr>
    <w:rPr>
      <w:rFonts w:ascii="Consolas" w:hAnsi="Consolas"/>
      <w:sz w:val="21"/>
      <w:szCs w:val="21"/>
      <w:lang w:val="x-none" w:eastAsia="x-none"/>
    </w:rPr>
  </w:style>
  <w:style w:type="character" w:customStyle="1" w:styleId="TextosemFormataoChar">
    <w:name w:val="Texto sem Formatação Char"/>
    <w:link w:val="TextosemFormatao"/>
    <w:rsid w:val="004822E1"/>
    <w:rPr>
      <w:rFonts w:ascii="Consolas" w:hAnsi="Consolas"/>
      <w:sz w:val="21"/>
      <w:szCs w:val="21"/>
      <w:lang w:val="x-none" w:eastAsia="x-none"/>
    </w:rPr>
  </w:style>
  <w:style w:type="paragraph" w:styleId="Textodebalo">
    <w:name w:val="Balloon Text"/>
    <w:basedOn w:val="Normal"/>
    <w:link w:val="TextodebaloChar"/>
    <w:rsid w:val="00C350B6"/>
    <w:rPr>
      <w:rFonts w:ascii="Tahoma" w:hAnsi="Tahoma" w:cs="Tahoma"/>
      <w:sz w:val="16"/>
      <w:szCs w:val="16"/>
    </w:rPr>
  </w:style>
  <w:style w:type="character" w:customStyle="1" w:styleId="TextodebaloChar">
    <w:name w:val="Texto de balão Char"/>
    <w:link w:val="Textodebalo"/>
    <w:rsid w:val="00C350B6"/>
    <w:rPr>
      <w:rFonts w:ascii="Tahoma" w:hAnsi="Tahoma" w:cs="Tahoma"/>
      <w:sz w:val="16"/>
      <w:szCs w:val="16"/>
    </w:rPr>
  </w:style>
  <w:style w:type="character" w:styleId="Refdecomentrio">
    <w:name w:val="annotation reference"/>
    <w:rsid w:val="004774F8"/>
    <w:rPr>
      <w:sz w:val="16"/>
      <w:szCs w:val="16"/>
    </w:rPr>
  </w:style>
  <w:style w:type="paragraph" w:styleId="Textodecomentrio">
    <w:name w:val="annotation text"/>
    <w:basedOn w:val="Normal"/>
    <w:link w:val="TextodecomentrioChar"/>
    <w:rsid w:val="004774F8"/>
  </w:style>
  <w:style w:type="character" w:customStyle="1" w:styleId="TextodecomentrioChar">
    <w:name w:val="Texto de comentário Char"/>
    <w:basedOn w:val="Fontepargpadro"/>
    <w:link w:val="Textodecomentrio"/>
    <w:rsid w:val="004774F8"/>
  </w:style>
  <w:style w:type="paragraph" w:styleId="Assuntodocomentrio">
    <w:name w:val="annotation subject"/>
    <w:basedOn w:val="Textodecomentrio"/>
    <w:next w:val="Textodecomentrio"/>
    <w:link w:val="AssuntodocomentrioChar"/>
    <w:rsid w:val="004774F8"/>
    <w:rPr>
      <w:b/>
      <w:bCs/>
    </w:rPr>
  </w:style>
  <w:style w:type="character" w:customStyle="1" w:styleId="AssuntodocomentrioChar">
    <w:name w:val="Assunto do comentário Char"/>
    <w:link w:val="Assuntodocomentrio"/>
    <w:rsid w:val="004774F8"/>
    <w:rPr>
      <w:b/>
      <w:bCs/>
    </w:rPr>
  </w:style>
  <w:style w:type="paragraph" w:customStyle="1" w:styleId="p11">
    <w:name w:val="p11"/>
    <w:basedOn w:val="Normal"/>
    <w:rsid w:val="00E93BF5"/>
    <w:pPr>
      <w:widowControl w:val="0"/>
      <w:tabs>
        <w:tab w:val="left" w:pos="720"/>
      </w:tabs>
      <w:spacing w:line="240" w:lineRule="atLeast"/>
      <w:jc w:val="both"/>
    </w:pPr>
    <w:rPr>
      <w:snapToGrid w:val="0"/>
      <w:sz w:val="24"/>
    </w:rPr>
  </w:style>
  <w:style w:type="table" w:styleId="Tabelacomgrade">
    <w:name w:val="Table Grid"/>
    <w:basedOn w:val="Tabelanormal"/>
    <w:rsid w:val="00691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F81D07"/>
    <w:rPr>
      <w:rFonts w:ascii="Arial" w:hAnsi="Arial" w:cs="Arial" w:hint="default"/>
      <w:b w:val="0"/>
      <w:bCs w:val="0"/>
      <w:i w:val="0"/>
      <w:iCs w:val="0"/>
      <w:color w:val="000000"/>
      <w:sz w:val="24"/>
      <w:szCs w:val="24"/>
    </w:rPr>
  </w:style>
  <w:style w:type="character" w:customStyle="1" w:styleId="fontstyle21">
    <w:name w:val="fontstyle21"/>
    <w:rsid w:val="00F81D07"/>
    <w:rPr>
      <w:rFonts w:ascii="Arial" w:hAnsi="Arial" w:cs="Arial"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1387">
      <w:bodyDiv w:val="1"/>
      <w:marLeft w:val="0"/>
      <w:marRight w:val="0"/>
      <w:marTop w:val="0"/>
      <w:marBottom w:val="0"/>
      <w:divBdr>
        <w:top w:val="none" w:sz="0" w:space="0" w:color="auto"/>
        <w:left w:val="none" w:sz="0" w:space="0" w:color="auto"/>
        <w:bottom w:val="none" w:sz="0" w:space="0" w:color="auto"/>
        <w:right w:val="none" w:sz="0" w:space="0" w:color="auto"/>
      </w:divBdr>
    </w:div>
    <w:div w:id="44330322">
      <w:bodyDiv w:val="1"/>
      <w:marLeft w:val="0"/>
      <w:marRight w:val="0"/>
      <w:marTop w:val="0"/>
      <w:marBottom w:val="0"/>
      <w:divBdr>
        <w:top w:val="none" w:sz="0" w:space="0" w:color="auto"/>
        <w:left w:val="none" w:sz="0" w:space="0" w:color="auto"/>
        <w:bottom w:val="none" w:sz="0" w:space="0" w:color="auto"/>
        <w:right w:val="none" w:sz="0" w:space="0" w:color="auto"/>
      </w:divBdr>
    </w:div>
    <w:div w:id="205290487">
      <w:bodyDiv w:val="1"/>
      <w:marLeft w:val="0"/>
      <w:marRight w:val="0"/>
      <w:marTop w:val="0"/>
      <w:marBottom w:val="0"/>
      <w:divBdr>
        <w:top w:val="none" w:sz="0" w:space="0" w:color="auto"/>
        <w:left w:val="none" w:sz="0" w:space="0" w:color="auto"/>
        <w:bottom w:val="none" w:sz="0" w:space="0" w:color="auto"/>
        <w:right w:val="none" w:sz="0" w:space="0" w:color="auto"/>
      </w:divBdr>
    </w:div>
    <w:div w:id="228618526">
      <w:bodyDiv w:val="1"/>
      <w:marLeft w:val="0"/>
      <w:marRight w:val="0"/>
      <w:marTop w:val="0"/>
      <w:marBottom w:val="0"/>
      <w:divBdr>
        <w:top w:val="none" w:sz="0" w:space="0" w:color="auto"/>
        <w:left w:val="none" w:sz="0" w:space="0" w:color="auto"/>
        <w:bottom w:val="none" w:sz="0" w:space="0" w:color="auto"/>
        <w:right w:val="none" w:sz="0" w:space="0" w:color="auto"/>
      </w:divBdr>
    </w:div>
    <w:div w:id="315888360">
      <w:bodyDiv w:val="1"/>
      <w:marLeft w:val="0"/>
      <w:marRight w:val="0"/>
      <w:marTop w:val="0"/>
      <w:marBottom w:val="0"/>
      <w:divBdr>
        <w:top w:val="none" w:sz="0" w:space="0" w:color="auto"/>
        <w:left w:val="none" w:sz="0" w:space="0" w:color="auto"/>
        <w:bottom w:val="none" w:sz="0" w:space="0" w:color="auto"/>
        <w:right w:val="none" w:sz="0" w:space="0" w:color="auto"/>
      </w:divBdr>
    </w:div>
    <w:div w:id="776019381">
      <w:bodyDiv w:val="1"/>
      <w:marLeft w:val="0"/>
      <w:marRight w:val="0"/>
      <w:marTop w:val="0"/>
      <w:marBottom w:val="0"/>
      <w:divBdr>
        <w:top w:val="none" w:sz="0" w:space="0" w:color="auto"/>
        <w:left w:val="none" w:sz="0" w:space="0" w:color="auto"/>
        <w:bottom w:val="none" w:sz="0" w:space="0" w:color="auto"/>
        <w:right w:val="none" w:sz="0" w:space="0" w:color="auto"/>
      </w:divBdr>
    </w:div>
    <w:div w:id="1610895141">
      <w:bodyDiv w:val="1"/>
      <w:marLeft w:val="0"/>
      <w:marRight w:val="0"/>
      <w:marTop w:val="0"/>
      <w:marBottom w:val="0"/>
      <w:divBdr>
        <w:top w:val="none" w:sz="0" w:space="0" w:color="auto"/>
        <w:left w:val="none" w:sz="0" w:space="0" w:color="auto"/>
        <w:bottom w:val="none" w:sz="0" w:space="0" w:color="auto"/>
        <w:right w:val="none" w:sz="0" w:space="0" w:color="auto"/>
      </w:divBdr>
      <w:divsChild>
        <w:div w:id="1461148631">
          <w:marLeft w:val="0"/>
          <w:marRight w:val="0"/>
          <w:marTop w:val="0"/>
          <w:marBottom w:val="0"/>
          <w:divBdr>
            <w:top w:val="none" w:sz="0" w:space="0" w:color="auto"/>
            <w:left w:val="none" w:sz="0" w:space="0" w:color="auto"/>
            <w:bottom w:val="none" w:sz="0" w:space="0" w:color="auto"/>
            <w:right w:val="none" w:sz="0" w:space="0" w:color="auto"/>
          </w:divBdr>
        </w:div>
        <w:div w:id="1639723774">
          <w:marLeft w:val="0"/>
          <w:marRight w:val="0"/>
          <w:marTop w:val="0"/>
          <w:marBottom w:val="0"/>
          <w:divBdr>
            <w:top w:val="single" w:sz="2" w:space="0" w:color="D9D9E3"/>
            <w:left w:val="single" w:sz="2" w:space="0" w:color="D9D9E3"/>
            <w:bottom w:val="single" w:sz="2" w:space="0" w:color="D9D9E3"/>
            <w:right w:val="single" w:sz="2" w:space="0" w:color="D9D9E3"/>
          </w:divBdr>
          <w:divsChild>
            <w:div w:id="733158645">
              <w:marLeft w:val="0"/>
              <w:marRight w:val="0"/>
              <w:marTop w:val="0"/>
              <w:marBottom w:val="0"/>
              <w:divBdr>
                <w:top w:val="single" w:sz="2" w:space="0" w:color="D9D9E3"/>
                <w:left w:val="single" w:sz="2" w:space="0" w:color="D9D9E3"/>
                <w:bottom w:val="single" w:sz="2" w:space="0" w:color="D9D9E3"/>
                <w:right w:val="single" w:sz="2" w:space="0" w:color="D9D9E3"/>
              </w:divBdr>
              <w:divsChild>
                <w:div w:id="566962190">
                  <w:marLeft w:val="0"/>
                  <w:marRight w:val="0"/>
                  <w:marTop w:val="0"/>
                  <w:marBottom w:val="0"/>
                  <w:divBdr>
                    <w:top w:val="single" w:sz="2" w:space="0" w:color="D9D9E3"/>
                    <w:left w:val="single" w:sz="2" w:space="0" w:color="D9D9E3"/>
                    <w:bottom w:val="single" w:sz="2" w:space="0" w:color="D9D9E3"/>
                    <w:right w:val="single" w:sz="2" w:space="0" w:color="D9D9E3"/>
                  </w:divBdr>
                  <w:divsChild>
                    <w:div w:id="1477143477">
                      <w:marLeft w:val="0"/>
                      <w:marRight w:val="0"/>
                      <w:marTop w:val="0"/>
                      <w:marBottom w:val="0"/>
                      <w:divBdr>
                        <w:top w:val="single" w:sz="2" w:space="0" w:color="D9D9E3"/>
                        <w:left w:val="single" w:sz="2" w:space="0" w:color="D9D9E3"/>
                        <w:bottom w:val="single" w:sz="2" w:space="0" w:color="D9D9E3"/>
                        <w:right w:val="single" w:sz="2" w:space="0" w:color="D9D9E3"/>
                      </w:divBdr>
                      <w:divsChild>
                        <w:div w:id="2027363776">
                          <w:marLeft w:val="0"/>
                          <w:marRight w:val="0"/>
                          <w:marTop w:val="0"/>
                          <w:marBottom w:val="0"/>
                          <w:divBdr>
                            <w:top w:val="single" w:sz="2" w:space="0" w:color="auto"/>
                            <w:left w:val="single" w:sz="2" w:space="0" w:color="auto"/>
                            <w:bottom w:val="single" w:sz="6" w:space="0" w:color="auto"/>
                            <w:right w:val="single" w:sz="2" w:space="0" w:color="auto"/>
                          </w:divBdr>
                          <w:divsChild>
                            <w:div w:id="1307972759">
                              <w:marLeft w:val="0"/>
                              <w:marRight w:val="0"/>
                              <w:marTop w:val="100"/>
                              <w:marBottom w:val="100"/>
                              <w:divBdr>
                                <w:top w:val="single" w:sz="2" w:space="0" w:color="D9D9E3"/>
                                <w:left w:val="single" w:sz="2" w:space="0" w:color="D9D9E3"/>
                                <w:bottom w:val="single" w:sz="2" w:space="0" w:color="D9D9E3"/>
                                <w:right w:val="single" w:sz="2" w:space="0" w:color="D9D9E3"/>
                              </w:divBdr>
                              <w:divsChild>
                                <w:div w:id="134104361">
                                  <w:marLeft w:val="0"/>
                                  <w:marRight w:val="0"/>
                                  <w:marTop w:val="0"/>
                                  <w:marBottom w:val="0"/>
                                  <w:divBdr>
                                    <w:top w:val="single" w:sz="2" w:space="0" w:color="D9D9E3"/>
                                    <w:left w:val="single" w:sz="2" w:space="0" w:color="D9D9E3"/>
                                    <w:bottom w:val="single" w:sz="2" w:space="0" w:color="D9D9E3"/>
                                    <w:right w:val="single" w:sz="2" w:space="0" w:color="D9D9E3"/>
                                  </w:divBdr>
                                  <w:divsChild>
                                    <w:div w:id="2038920173">
                                      <w:marLeft w:val="0"/>
                                      <w:marRight w:val="0"/>
                                      <w:marTop w:val="0"/>
                                      <w:marBottom w:val="0"/>
                                      <w:divBdr>
                                        <w:top w:val="single" w:sz="2" w:space="0" w:color="D9D9E3"/>
                                        <w:left w:val="single" w:sz="2" w:space="0" w:color="D9D9E3"/>
                                        <w:bottom w:val="single" w:sz="2" w:space="0" w:color="D9D9E3"/>
                                        <w:right w:val="single" w:sz="2" w:space="0" w:color="D9D9E3"/>
                                      </w:divBdr>
                                      <w:divsChild>
                                        <w:div w:id="2031684175">
                                          <w:marLeft w:val="0"/>
                                          <w:marRight w:val="0"/>
                                          <w:marTop w:val="0"/>
                                          <w:marBottom w:val="0"/>
                                          <w:divBdr>
                                            <w:top w:val="single" w:sz="2" w:space="0" w:color="D9D9E3"/>
                                            <w:left w:val="single" w:sz="2" w:space="0" w:color="D9D9E3"/>
                                            <w:bottom w:val="single" w:sz="2" w:space="0" w:color="D9D9E3"/>
                                            <w:right w:val="single" w:sz="2" w:space="0" w:color="D9D9E3"/>
                                          </w:divBdr>
                                          <w:divsChild>
                                            <w:div w:id="479953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981104948">
      <w:bodyDiv w:val="1"/>
      <w:marLeft w:val="0"/>
      <w:marRight w:val="0"/>
      <w:marTop w:val="0"/>
      <w:marBottom w:val="0"/>
      <w:divBdr>
        <w:top w:val="none" w:sz="0" w:space="0" w:color="auto"/>
        <w:left w:val="none" w:sz="0" w:space="0" w:color="auto"/>
        <w:bottom w:val="none" w:sz="0" w:space="0" w:color="auto"/>
        <w:right w:val="none" w:sz="0" w:space="0" w:color="auto"/>
      </w:divBdr>
      <w:divsChild>
        <w:div w:id="884297673">
          <w:marLeft w:val="0"/>
          <w:marRight w:val="0"/>
          <w:marTop w:val="0"/>
          <w:marBottom w:val="0"/>
          <w:divBdr>
            <w:top w:val="single" w:sz="2" w:space="0" w:color="auto"/>
            <w:left w:val="single" w:sz="2" w:space="0" w:color="auto"/>
            <w:bottom w:val="single" w:sz="6" w:space="0" w:color="auto"/>
            <w:right w:val="single" w:sz="2" w:space="0" w:color="auto"/>
          </w:divBdr>
          <w:divsChild>
            <w:div w:id="1767383974">
              <w:marLeft w:val="0"/>
              <w:marRight w:val="0"/>
              <w:marTop w:val="100"/>
              <w:marBottom w:val="100"/>
              <w:divBdr>
                <w:top w:val="single" w:sz="2" w:space="0" w:color="D9D9E3"/>
                <w:left w:val="single" w:sz="2" w:space="0" w:color="D9D9E3"/>
                <w:bottom w:val="single" w:sz="2" w:space="0" w:color="D9D9E3"/>
                <w:right w:val="single" w:sz="2" w:space="0" w:color="D9D9E3"/>
              </w:divBdr>
              <w:divsChild>
                <w:div w:id="142938713">
                  <w:marLeft w:val="0"/>
                  <w:marRight w:val="0"/>
                  <w:marTop w:val="0"/>
                  <w:marBottom w:val="0"/>
                  <w:divBdr>
                    <w:top w:val="single" w:sz="2" w:space="0" w:color="D9D9E3"/>
                    <w:left w:val="single" w:sz="2" w:space="0" w:color="D9D9E3"/>
                    <w:bottom w:val="single" w:sz="2" w:space="0" w:color="D9D9E3"/>
                    <w:right w:val="single" w:sz="2" w:space="0" w:color="D9D9E3"/>
                  </w:divBdr>
                  <w:divsChild>
                    <w:div w:id="125784287">
                      <w:marLeft w:val="0"/>
                      <w:marRight w:val="0"/>
                      <w:marTop w:val="0"/>
                      <w:marBottom w:val="0"/>
                      <w:divBdr>
                        <w:top w:val="single" w:sz="2" w:space="0" w:color="D9D9E3"/>
                        <w:left w:val="single" w:sz="2" w:space="0" w:color="D9D9E3"/>
                        <w:bottom w:val="single" w:sz="2" w:space="0" w:color="D9D9E3"/>
                        <w:right w:val="single" w:sz="2" w:space="0" w:color="D9D9E3"/>
                      </w:divBdr>
                      <w:divsChild>
                        <w:div w:id="93937390">
                          <w:marLeft w:val="0"/>
                          <w:marRight w:val="0"/>
                          <w:marTop w:val="0"/>
                          <w:marBottom w:val="0"/>
                          <w:divBdr>
                            <w:top w:val="single" w:sz="2" w:space="0" w:color="D9D9E3"/>
                            <w:left w:val="single" w:sz="2" w:space="0" w:color="D9D9E3"/>
                            <w:bottom w:val="single" w:sz="2" w:space="0" w:color="D9D9E3"/>
                            <w:right w:val="single" w:sz="2" w:space="0" w:color="D9D9E3"/>
                          </w:divBdr>
                          <w:divsChild>
                            <w:div w:id="11343252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86801640">
      <w:bodyDiv w:val="1"/>
      <w:marLeft w:val="0"/>
      <w:marRight w:val="0"/>
      <w:marTop w:val="0"/>
      <w:marBottom w:val="0"/>
      <w:divBdr>
        <w:top w:val="none" w:sz="0" w:space="0" w:color="auto"/>
        <w:left w:val="none" w:sz="0" w:space="0" w:color="auto"/>
        <w:bottom w:val="none" w:sz="0" w:space="0" w:color="auto"/>
        <w:right w:val="none" w:sz="0" w:space="0" w:color="auto"/>
      </w:divBdr>
    </w:div>
    <w:div w:id="214350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_rels/foot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65B12-2952-416E-9C28-B74FE1956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1865</Words>
  <Characters>10077</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ROLDAO LIMA JUNIOR</dc:creator>
  <cp:keywords/>
  <cp:lastModifiedBy>Alexsandro Andrade</cp:lastModifiedBy>
  <cp:revision>2</cp:revision>
  <dcterms:created xsi:type="dcterms:W3CDTF">2023-07-12T15:29:00Z</dcterms:created>
  <dcterms:modified xsi:type="dcterms:W3CDTF">2023-07-12T15:29:00Z</dcterms:modified>
</cp:coreProperties>
</file>