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534B" w14:textId="77777777" w:rsidR="00C4500C" w:rsidRDefault="006C1734" w:rsidP="002D7202">
      <w:pPr>
        <w:pStyle w:val="TextosemFormatao"/>
        <w:spacing w:beforeAutospacing="0" w:afterAutospacing="0"/>
        <w:ind w:right="-518"/>
        <w:jc w:val="center"/>
        <w:rPr>
          <w:rFonts w:ascii="Times New Roman" w:hAnsi="Times New Roman"/>
          <w:b/>
          <w:sz w:val="24"/>
          <w:szCs w:val="24"/>
          <w:lang w:val="pt-BR"/>
        </w:rPr>
      </w:pPr>
      <w:r>
        <w:rPr>
          <w:rFonts w:ascii="Times New Roman" w:hAnsi="Times New Roman"/>
          <w:b/>
          <w:sz w:val="24"/>
          <w:szCs w:val="24"/>
          <w:lang w:val="pt-BR"/>
        </w:rPr>
        <w:t xml:space="preserve">ANÁLISE DO PÓ DE VIDRO EM SUBSTITUIÇÃO </w:t>
      </w:r>
      <w:r w:rsidR="00D36063">
        <w:rPr>
          <w:rFonts w:ascii="Times New Roman" w:hAnsi="Times New Roman"/>
          <w:b/>
          <w:sz w:val="24"/>
          <w:szCs w:val="24"/>
          <w:lang w:val="pt-BR"/>
        </w:rPr>
        <w:t>A AREIA NATURAL NA</w:t>
      </w:r>
      <w:r>
        <w:rPr>
          <w:rFonts w:ascii="Times New Roman" w:hAnsi="Times New Roman"/>
          <w:b/>
          <w:sz w:val="24"/>
          <w:szCs w:val="24"/>
          <w:lang w:val="pt-BR"/>
        </w:rPr>
        <w:t xml:space="preserve"> PRODUÇÃO DE CONCRETO COM CIMENTO PORTLAND</w:t>
      </w:r>
    </w:p>
    <w:p w14:paraId="5C6B13D3"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12E46C9B" w14:textId="2E4B356F" w:rsidR="00367E45" w:rsidRPr="0020459D" w:rsidRDefault="002E56F6" w:rsidP="008C436D">
      <w:pPr>
        <w:ind w:right="-1"/>
        <w:jc w:val="both"/>
      </w:pPr>
      <w:r>
        <w:t>BERTHA JACHOWICZ SERKES</w:t>
      </w:r>
      <w:r w:rsidR="00DC15F9">
        <w:rPr>
          <w:vertAlign w:val="superscript"/>
        </w:rPr>
        <w:t xml:space="preserve">1 </w:t>
      </w:r>
      <w:r w:rsidR="00DC15F9">
        <w:t xml:space="preserve">e </w:t>
      </w:r>
      <w:r w:rsidR="006C1734">
        <w:t>SÍLVIA SANTOS</w:t>
      </w:r>
      <w:r w:rsidR="00DC15F9">
        <w:rPr>
          <w:vertAlign w:val="superscript"/>
        </w:rPr>
        <w:t>2</w:t>
      </w:r>
      <w:r w:rsidR="006C1734">
        <w:t xml:space="preserve"> </w:t>
      </w:r>
    </w:p>
    <w:p w14:paraId="60273FD0" w14:textId="77777777" w:rsidR="00367E45" w:rsidRPr="00446D3A" w:rsidRDefault="00367E45" w:rsidP="00380272">
      <w:pPr>
        <w:ind w:right="-518"/>
        <w:jc w:val="center"/>
      </w:pPr>
    </w:p>
    <w:p w14:paraId="7D425C8B" w14:textId="660349F2" w:rsidR="008431A3" w:rsidRDefault="00DC15F9" w:rsidP="0020459D">
      <w:pPr>
        <w:jc w:val="both"/>
        <w:rPr>
          <w:szCs w:val="24"/>
        </w:rPr>
      </w:pPr>
      <w:r>
        <w:rPr>
          <w:szCs w:val="22"/>
          <w:vertAlign w:val="superscript"/>
        </w:rPr>
        <w:t>1</w:t>
      </w:r>
      <w:r w:rsidR="006C1734">
        <w:rPr>
          <w:szCs w:val="22"/>
        </w:rPr>
        <w:t xml:space="preserve">Grauanda em Engenharia Civil UNIVALI, Itajaí-SC, </w:t>
      </w:r>
      <w:hyperlink r:id="rId10" w:history="1">
        <w:r w:rsidRPr="003D21DE">
          <w:rPr>
            <w:rStyle w:val="Hyperlink"/>
            <w:szCs w:val="22"/>
          </w:rPr>
          <w:t>bertha@univali.br</w:t>
        </w:r>
      </w:hyperlink>
      <w:r w:rsidR="0066176E">
        <w:rPr>
          <w:szCs w:val="24"/>
        </w:rPr>
        <w:t>;</w:t>
      </w:r>
    </w:p>
    <w:p w14:paraId="0F7E058C" w14:textId="45077DEC" w:rsidR="00DC15F9" w:rsidRPr="00446D3A" w:rsidRDefault="00DC15F9" w:rsidP="00DC15F9">
      <w:pPr>
        <w:jc w:val="both"/>
        <w:rPr>
          <w:rStyle w:val="Hyperlink"/>
          <w:color w:val="auto"/>
          <w:u w:val="none"/>
        </w:rPr>
      </w:pPr>
      <w:r>
        <w:rPr>
          <w:vertAlign w:val="superscript"/>
        </w:rPr>
        <w:t>2</w:t>
      </w:r>
      <w:r w:rsidRPr="00446D3A">
        <w:t>Dr</w:t>
      </w:r>
      <w:r>
        <w:t>a</w:t>
      </w:r>
      <w:r w:rsidRPr="00446D3A">
        <w:t xml:space="preserve">. </w:t>
      </w:r>
      <w:r>
        <w:t>Sílvia Santos</w:t>
      </w:r>
      <w:r w:rsidRPr="00446D3A">
        <w:t xml:space="preserve">, </w:t>
      </w:r>
      <w:r>
        <w:t>Itajaí-SC, ssantos@univali.br;</w:t>
      </w:r>
    </w:p>
    <w:p w14:paraId="6A96F4E3" w14:textId="77777777" w:rsidR="00DC15F9" w:rsidRPr="00446D3A" w:rsidRDefault="00DC15F9" w:rsidP="0020459D">
      <w:pPr>
        <w:jc w:val="both"/>
        <w:rPr>
          <w:szCs w:val="22"/>
        </w:rPr>
      </w:pPr>
    </w:p>
    <w:p w14:paraId="75E53023" w14:textId="77777777" w:rsidR="00E56BE7" w:rsidRPr="00E56BE7" w:rsidRDefault="00E56BE7" w:rsidP="00E56BE7">
      <w:pPr>
        <w:jc w:val="center"/>
        <w:rPr>
          <w:szCs w:val="22"/>
        </w:rPr>
      </w:pPr>
    </w:p>
    <w:p w14:paraId="7474A16D" w14:textId="77777777" w:rsidR="00E74C1E" w:rsidRPr="005063BD" w:rsidRDefault="00E74C1E" w:rsidP="00380272">
      <w:pPr>
        <w:jc w:val="center"/>
        <w:rPr>
          <w:sz w:val="22"/>
          <w:szCs w:val="22"/>
        </w:rPr>
      </w:pPr>
      <w:r w:rsidRPr="005063BD">
        <w:rPr>
          <w:sz w:val="22"/>
          <w:szCs w:val="22"/>
        </w:rPr>
        <w:t xml:space="preserve">Apresentado no            </w:t>
      </w:r>
    </w:p>
    <w:p w14:paraId="3961D666" w14:textId="77777777" w:rsidR="00E74C1E" w:rsidRPr="005063BD" w:rsidRDefault="00E74C1E" w:rsidP="00380272">
      <w:pPr>
        <w:jc w:val="center"/>
        <w:rPr>
          <w:sz w:val="22"/>
          <w:szCs w:val="22"/>
        </w:rPr>
      </w:pPr>
      <w:r w:rsidRPr="005063BD">
        <w:rPr>
          <w:sz w:val="22"/>
          <w:szCs w:val="22"/>
        </w:rPr>
        <w:t>Congresso Técnico Científico da Enge</w:t>
      </w:r>
      <w:r w:rsidR="009A1D67" w:rsidRPr="005063BD">
        <w:rPr>
          <w:sz w:val="22"/>
          <w:szCs w:val="22"/>
        </w:rPr>
        <w:t>nharia e da Agronomia – CONTECC</w:t>
      </w:r>
    </w:p>
    <w:p w14:paraId="796ACE02" w14:textId="77777777" w:rsidR="00D06A0C" w:rsidRPr="00446D3A" w:rsidRDefault="006C1734" w:rsidP="00380272">
      <w:pPr>
        <w:jc w:val="center"/>
        <w:rPr>
          <w:sz w:val="22"/>
          <w:szCs w:val="22"/>
        </w:rPr>
      </w:pPr>
      <w:r w:rsidRPr="005063BD">
        <w:rPr>
          <w:sz w:val="22"/>
          <w:szCs w:val="22"/>
        </w:rPr>
        <w:t>08 a 11 de agosto de 2023</w:t>
      </w:r>
    </w:p>
    <w:p w14:paraId="116E2375" w14:textId="77777777" w:rsidR="00E74C1E" w:rsidRPr="00446D3A" w:rsidRDefault="00E74C1E" w:rsidP="00380272">
      <w:pPr>
        <w:jc w:val="center"/>
        <w:rPr>
          <w:szCs w:val="22"/>
        </w:rPr>
      </w:pPr>
    </w:p>
    <w:p w14:paraId="4952F561" w14:textId="3DC6C165" w:rsidR="006C1734" w:rsidRDefault="15B9E4BA" w:rsidP="006A044B">
      <w:pPr>
        <w:jc w:val="both"/>
        <w:rPr>
          <w:sz w:val="22"/>
          <w:szCs w:val="22"/>
        </w:rPr>
      </w:pPr>
      <w:r w:rsidRPr="15B9E4BA">
        <w:rPr>
          <w:b/>
          <w:bCs/>
          <w:sz w:val="22"/>
          <w:szCs w:val="22"/>
        </w:rPr>
        <w:t>RESUMO</w:t>
      </w:r>
      <w:r w:rsidRPr="15B9E4BA">
        <w:rPr>
          <w:sz w:val="22"/>
          <w:szCs w:val="22"/>
        </w:rPr>
        <w:t xml:space="preserve">: Este trabalho objetivou analisar a viabilidade da utilização de resíduo vítreo, oriundo da moagem de vidros em processo de reciclagem, como substituinte da areia natural na produção de concretos de cimento Portland. Foram produzidos concretos com substituição de areia natural por pó de vidro nos teores de 50% e 100%, em massa. Os concretos foram submetidos a ensaios no estado fresco e estado endurecido. Os resultados demostraram que a substituição parcial a areia natural por pó de vidro pode ser viável para a produção de concretos.  </w:t>
      </w:r>
    </w:p>
    <w:p w14:paraId="0E9C54B8" w14:textId="16996241"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6C1734">
        <w:rPr>
          <w:sz w:val="22"/>
          <w:szCs w:val="22"/>
        </w:rPr>
        <w:t xml:space="preserve">Reciclagem, </w:t>
      </w:r>
      <w:r w:rsidR="00F225BD">
        <w:rPr>
          <w:sz w:val="22"/>
          <w:szCs w:val="22"/>
        </w:rPr>
        <w:t xml:space="preserve">concreto com resíduo, </w:t>
      </w:r>
      <w:r w:rsidR="006C1734">
        <w:rPr>
          <w:sz w:val="22"/>
          <w:szCs w:val="22"/>
        </w:rPr>
        <w:t>agregado miúdo, pó de vidro.</w:t>
      </w:r>
    </w:p>
    <w:p w14:paraId="1E6ADF74" w14:textId="77777777" w:rsidR="00E74C1E" w:rsidRPr="00446D3A" w:rsidRDefault="00E74C1E" w:rsidP="00380272">
      <w:pPr>
        <w:jc w:val="center"/>
        <w:rPr>
          <w:szCs w:val="22"/>
        </w:rPr>
      </w:pPr>
    </w:p>
    <w:p w14:paraId="050B18FF" w14:textId="77777777" w:rsidR="006D7BEF" w:rsidRDefault="00D36063" w:rsidP="00D36063">
      <w:pPr>
        <w:tabs>
          <w:tab w:val="left" w:pos="6313"/>
        </w:tabs>
        <w:adjustRightInd w:val="0"/>
        <w:jc w:val="center"/>
        <w:rPr>
          <w:b/>
          <w:sz w:val="22"/>
          <w:szCs w:val="22"/>
          <w:lang w:val="en-US"/>
        </w:rPr>
      </w:pPr>
      <w:r w:rsidRPr="00D36063">
        <w:rPr>
          <w:b/>
          <w:sz w:val="22"/>
          <w:szCs w:val="22"/>
          <w:lang w:val="en-US"/>
        </w:rPr>
        <w:t>ANALYSIS OF GLASS POWDER AS REPLACEMENT OF NATURAL SAND IN THE PRODUCTION OF CONCRETE WITH PORTLAND CEMENT</w:t>
      </w:r>
    </w:p>
    <w:p w14:paraId="2A9E71C2" w14:textId="77777777" w:rsidR="0082197E" w:rsidRDefault="0082197E" w:rsidP="00D36063">
      <w:pPr>
        <w:tabs>
          <w:tab w:val="left" w:pos="6313"/>
        </w:tabs>
        <w:adjustRightInd w:val="0"/>
        <w:jc w:val="center"/>
        <w:rPr>
          <w:b/>
          <w:sz w:val="22"/>
          <w:szCs w:val="22"/>
          <w:lang w:val="en-US"/>
        </w:rPr>
      </w:pPr>
    </w:p>
    <w:p w14:paraId="77A31914" w14:textId="75543CBD" w:rsidR="00A744EF" w:rsidRDefault="3E2B6792" w:rsidP="00A744EF">
      <w:pPr>
        <w:tabs>
          <w:tab w:val="left" w:pos="6313"/>
        </w:tabs>
        <w:adjustRightInd w:val="0"/>
        <w:jc w:val="both"/>
        <w:rPr>
          <w:b/>
          <w:sz w:val="22"/>
          <w:szCs w:val="22"/>
          <w:lang w:val="en-US"/>
        </w:rPr>
      </w:pPr>
      <w:r w:rsidRPr="3E2B6792">
        <w:rPr>
          <w:b/>
          <w:bCs/>
          <w:sz w:val="22"/>
          <w:szCs w:val="22"/>
          <w:lang w:val="en-US"/>
        </w:rPr>
        <w:t>ABSTRACT</w:t>
      </w:r>
      <w:r w:rsidRPr="3E2B6792">
        <w:rPr>
          <w:sz w:val="22"/>
          <w:szCs w:val="22"/>
          <w:lang w:val="en-US"/>
        </w:rPr>
        <w:t xml:space="preserve">: </w:t>
      </w:r>
      <w:r w:rsidR="00A744EF" w:rsidRPr="00A744EF">
        <w:rPr>
          <w:bCs/>
          <w:sz w:val="22"/>
          <w:szCs w:val="22"/>
          <w:lang w:val="en-US"/>
        </w:rPr>
        <w:t>This work aimed to analyze the feasibility of using glassy residue, from the grinding of glass in the recycling process, as a substitute for natural sand in the production of Portland cement concretes. Concretes were produced with the replacement of natural sand by glass powder in the contents of 50% and 100%, by mass.</w:t>
      </w:r>
      <w:r w:rsidR="00E52C3E">
        <w:rPr>
          <w:bCs/>
          <w:sz w:val="22"/>
          <w:szCs w:val="22"/>
          <w:lang w:val="en-US"/>
        </w:rPr>
        <w:t xml:space="preserve"> </w:t>
      </w:r>
      <w:r w:rsidR="00E52C3E" w:rsidRPr="00E52C3E">
        <w:rPr>
          <w:bCs/>
          <w:sz w:val="22"/>
          <w:szCs w:val="22"/>
          <w:lang w:val="en-US"/>
        </w:rPr>
        <w:t xml:space="preserve">The concretes were subjected to tests in the fresh state and in the hardened state. </w:t>
      </w:r>
      <w:r w:rsidR="008B4CA5" w:rsidRPr="008B4CA5">
        <w:rPr>
          <w:bCs/>
          <w:sz w:val="22"/>
          <w:szCs w:val="22"/>
          <w:lang w:val="en-US"/>
        </w:rPr>
        <w:t xml:space="preserve">The results showed that the partial replacement of natural sand </w:t>
      </w:r>
      <w:r w:rsidR="008B4CA5">
        <w:rPr>
          <w:bCs/>
          <w:sz w:val="22"/>
          <w:szCs w:val="22"/>
          <w:lang w:val="en-US"/>
        </w:rPr>
        <w:t>with</w:t>
      </w:r>
      <w:r w:rsidR="008B4CA5" w:rsidRPr="008B4CA5">
        <w:rPr>
          <w:bCs/>
          <w:sz w:val="22"/>
          <w:szCs w:val="22"/>
          <w:lang w:val="en-US"/>
        </w:rPr>
        <w:t xml:space="preserve"> glass powder can be feasible for the production of concretes.</w:t>
      </w:r>
    </w:p>
    <w:p w14:paraId="17F99862" w14:textId="71B55604" w:rsidR="00E74C1E" w:rsidRPr="00637B4C"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6C1734" w:rsidRPr="006C1734">
        <w:rPr>
          <w:sz w:val="22"/>
          <w:szCs w:val="22"/>
          <w:lang w:val="en-US"/>
        </w:rPr>
        <w:t>Recycling, concrete</w:t>
      </w:r>
      <w:r w:rsidR="00F225BD">
        <w:rPr>
          <w:sz w:val="22"/>
          <w:szCs w:val="22"/>
          <w:lang w:val="en-US"/>
        </w:rPr>
        <w:t xml:space="preserve"> with waste</w:t>
      </w:r>
      <w:r w:rsidR="006C1734" w:rsidRPr="006C1734">
        <w:rPr>
          <w:sz w:val="22"/>
          <w:szCs w:val="22"/>
          <w:lang w:val="en-US"/>
        </w:rPr>
        <w:t>, fine aggregate, glass powder</w:t>
      </w:r>
      <w:r w:rsidR="00611409" w:rsidRPr="00611409">
        <w:rPr>
          <w:sz w:val="22"/>
          <w:szCs w:val="22"/>
          <w:lang w:val="en-US"/>
        </w:rPr>
        <w:t>.</w:t>
      </w:r>
    </w:p>
    <w:p w14:paraId="5D57B7B3"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092F2E8A"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363096">
        <w:rPr>
          <w:rFonts w:ascii="Times New Roman" w:hAnsi="Times New Roman"/>
          <w:b/>
          <w:sz w:val="22"/>
          <w:szCs w:val="22"/>
          <w:lang w:val="pt-BR"/>
        </w:rPr>
        <w:t>INTRODUÇÃO</w:t>
      </w:r>
    </w:p>
    <w:p w14:paraId="23DF54AF" w14:textId="1EED20B8" w:rsidR="00110CA0" w:rsidRPr="002F122F" w:rsidRDefault="15B9E4BA" w:rsidP="00855102">
      <w:pPr>
        <w:ind w:firstLine="709"/>
        <w:jc w:val="both"/>
        <w:rPr>
          <w:sz w:val="22"/>
          <w:szCs w:val="22"/>
        </w:rPr>
      </w:pPr>
      <w:r w:rsidRPr="15B9E4BA">
        <w:rPr>
          <w:sz w:val="22"/>
          <w:szCs w:val="22"/>
        </w:rPr>
        <w:t xml:space="preserve">Segundo Marques (2011) o vidro é uma substância inorgânica, sem estrutura atômica definida e fisicamente homogênea, oriundo do resfriamento de uma massa em fusão ou aquecimento de óxidos que, quando exposto a temperaturas na faixa dos 1500 </w:t>
      </w:r>
      <w:proofErr w:type="spellStart"/>
      <w:r w:rsidRPr="15B9E4BA">
        <w:rPr>
          <w:sz w:val="22"/>
          <w:szCs w:val="22"/>
        </w:rPr>
        <w:t>ºC</w:t>
      </w:r>
      <w:proofErr w:type="spellEnd"/>
      <w:r w:rsidRPr="15B9E4BA">
        <w:rPr>
          <w:sz w:val="22"/>
          <w:szCs w:val="22"/>
        </w:rPr>
        <w:t xml:space="preserve"> a 1600 </w:t>
      </w:r>
      <w:proofErr w:type="spellStart"/>
      <w:r w:rsidRPr="15B9E4BA">
        <w:rPr>
          <w:sz w:val="22"/>
          <w:szCs w:val="22"/>
        </w:rPr>
        <w:t>ºC</w:t>
      </w:r>
      <w:proofErr w:type="spellEnd"/>
      <w:r w:rsidRPr="15B9E4BA">
        <w:rPr>
          <w:sz w:val="22"/>
          <w:szCs w:val="22"/>
        </w:rPr>
        <w:t>, se torna fluido e pode ser moldado nas mais diversas formas e, logo após, resfriado em condições específicas. Além disso, segundo a Associação Brasileira das Indústrias de Vidro (ABIVIDRO, 2021), o vidro é um dos materiais que melhor podem ser reciclados e reutilizados, por ser feito de minerais como areia, barrilha, calcário e feldspato, e que sua reciclagem ainda contribui à diminuição da extração de matérias-primas da natureza e a emissão de dióxido de carbono (CO</w:t>
      </w:r>
      <w:r w:rsidRPr="15B9E4BA">
        <w:rPr>
          <w:sz w:val="22"/>
          <w:szCs w:val="22"/>
          <w:vertAlign w:val="subscript"/>
        </w:rPr>
        <w:t>2</w:t>
      </w:r>
      <w:r w:rsidRPr="15B9E4BA">
        <w:rPr>
          <w:sz w:val="22"/>
          <w:szCs w:val="22"/>
        </w:rPr>
        <w:t>) na atmosfera.</w:t>
      </w:r>
    </w:p>
    <w:p w14:paraId="47669073" w14:textId="742DC126" w:rsidR="00471C85" w:rsidRDefault="001B2DD6" w:rsidP="00471C85">
      <w:pPr>
        <w:ind w:firstLine="709"/>
        <w:jc w:val="both"/>
        <w:rPr>
          <w:sz w:val="22"/>
          <w:szCs w:val="22"/>
        </w:rPr>
      </w:pPr>
      <w:r w:rsidRPr="001B2DD6">
        <w:rPr>
          <w:sz w:val="22"/>
          <w:szCs w:val="22"/>
        </w:rPr>
        <w:t xml:space="preserve">O </w:t>
      </w:r>
      <w:r w:rsidR="008E0BA8">
        <w:rPr>
          <w:sz w:val="22"/>
          <w:szCs w:val="22"/>
        </w:rPr>
        <w:t>pó de vidro</w:t>
      </w:r>
      <w:r w:rsidRPr="001B2DD6">
        <w:rPr>
          <w:sz w:val="22"/>
          <w:szCs w:val="22"/>
        </w:rPr>
        <w:t xml:space="preserve">, material de estudo desta pesquisa, é derivado do processo de jateamento, muito comum nas empresas de reciclagem de vidro, utilizando granalha de vidro. </w:t>
      </w:r>
      <w:r w:rsidR="005D25E1">
        <w:rPr>
          <w:sz w:val="22"/>
          <w:szCs w:val="22"/>
        </w:rPr>
        <w:t>Esse jateamento promove</w:t>
      </w:r>
      <w:r w:rsidRPr="001B2DD6">
        <w:rPr>
          <w:sz w:val="22"/>
          <w:szCs w:val="22"/>
        </w:rPr>
        <w:t xml:space="preserve"> limpeza</w:t>
      </w:r>
      <w:r w:rsidR="005D25E1">
        <w:rPr>
          <w:sz w:val="22"/>
          <w:szCs w:val="22"/>
        </w:rPr>
        <w:t xml:space="preserve"> e </w:t>
      </w:r>
      <w:r w:rsidRPr="001B2DD6">
        <w:rPr>
          <w:sz w:val="22"/>
          <w:szCs w:val="22"/>
        </w:rPr>
        <w:t xml:space="preserve">acabamento uniforme e de toque acetinado no vidro. Entretanto, apesar dos benefícios, o processo gera um </w:t>
      </w:r>
      <w:r w:rsidR="005D25E1">
        <w:rPr>
          <w:sz w:val="22"/>
          <w:szCs w:val="22"/>
        </w:rPr>
        <w:t>alto</w:t>
      </w:r>
      <w:r w:rsidRPr="001B2DD6">
        <w:rPr>
          <w:sz w:val="22"/>
          <w:szCs w:val="22"/>
        </w:rPr>
        <w:t xml:space="preserve"> volume de pó de vidro, sendo esse material residual totalmente descartado. </w:t>
      </w:r>
    </w:p>
    <w:p w14:paraId="44C05522" w14:textId="77777777" w:rsidR="008E0BA8" w:rsidRDefault="008E0BA8" w:rsidP="00471C85">
      <w:pPr>
        <w:ind w:firstLine="709"/>
        <w:jc w:val="both"/>
        <w:rPr>
          <w:sz w:val="22"/>
          <w:szCs w:val="22"/>
        </w:rPr>
      </w:pPr>
      <w:r>
        <w:rPr>
          <w:sz w:val="22"/>
          <w:szCs w:val="22"/>
        </w:rPr>
        <w:t>Por outro lado,</w:t>
      </w:r>
      <w:r w:rsidR="00471C85" w:rsidRPr="00471C85">
        <w:rPr>
          <w:sz w:val="22"/>
          <w:szCs w:val="22"/>
        </w:rPr>
        <w:t xml:space="preserve"> </w:t>
      </w:r>
      <w:r>
        <w:rPr>
          <w:sz w:val="22"/>
          <w:szCs w:val="22"/>
        </w:rPr>
        <w:t>a</w:t>
      </w:r>
      <w:r w:rsidR="00471C85" w:rsidRPr="00471C85">
        <w:rPr>
          <w:sz w:val="22"/>
          <w:szCs w:val="22"/>
        </w:rPr>
        <w:t xml:space="preserve"> demanda de concreto</w:t>
      </w:r>
      <w:r>
        <w:rPr>
          <w:sz w:val="22"/>
          <w:szCs w:val="22"/>
        </w:rPr>
        <w:t xml:space="preserve"> no setor da Construção Civil</w:t>
      </w:r>
      <w:r w:rsidR="00471C85" w:rsidRPr="00471C85">
        <w:rPr>
          <w:sz w:val="22"/>
          <w:szCs w:val="22"/>
        </w:rPr>
        <w:t xml:space="preserve"> acarreta o alto consumo de agregados naturais, principalmente a areia natural (TAMANNA </w:t>
      </w:r>
      <w:r w:rsidR="00471C85" w:rsidRPr="00471C85">
        <w:rPr>
          <w:i/>
          <w:iCs/>
          <w:sz w:val="22"/>
          <w:szCs w:val="22"/>
        </w:rPr>
        <w:t>et al.</w:t>
      </w:r>
      <w:r w:rsidR="00471C85" w:rsidRPr="00471C85">
        <w:rPr>
          <w:sz w:val="22"/>
          <w:szCs w:val="22"/>
        </w:rPr>
        <w:t xml:space="preserve">, 2020), o que implica na necessidade de buscar materiais alternativos que possam substituir, parcial ou totalmente, os agregados naturais. </w:t>
      </w:r>
    </w:p>
    <w:p w14:paraId="218ECC86" w14:textId="0579796B" w:rsidR="00471C85" w:rsidRDefault="008E0BA8" w:rsidP="00471C85">
      <w:pPr>
        <w:ind w:firstLine="709"/>
        <w:jc w:val="both"/>
        <w:rPr>
          <w:sz w:val="22"/>
          <w:szCs w:val="22"/>
        </w:rPr>
      </w:pPr>
      <w:r>
        <w:rPr>
          <w:sz w:val="22"/>
          <w:szCs w:val="22"/>
        </w:rPr>
        <w:t>Logo, a aplicação do pó de vidro</w:t>
      </w:r>
      <w:r w:rsidR="00471C85" w:rsidRPr="00471C85">
        <w:rPr>
          <w:sz w:val="22"/>
          <w:szCs w:val="22"/>
        </w:rPr>
        <w:t xml:space="preserve"> </w:t>
      </w:r>
      <w:r>
        <w:rPr>
          <w:sz w:val="22"/>
          <w:szCs w:val="22"/>
        </w:rPr>
        <w:t xml:space="preserve">em misturas de concreto </w:t>
      </w:r>
      <w:r w:rsidR="00471C85" w:rsidRPr="00471C85">
        <w:rPr>
          <w:sz w:val="22"/>
          <w:szCs w:val="22"/>
        </w:rPr>
        <w:t>pode</w:t>
      </w:r>
      <w:r>
        <w:rPr>
          <w:sz w:val="22"/>
          <w:szCs w:val="22"/>
        </w:rPr>
        <w:t xml:space="preserve"> levar a dois resultados relevantes: (i) dar destinação com agregação de valor ao resíduo</w:t>
      </w:r>
      <w:r w:rsidR="005D25E1">
        <w:rPr>
          <w:sz w:val="22"/>
          <w:szCs w:val="22"/>
        </w:rPr>
        <w:t>;</w:t>
      </w:r>
      <w:r>
        <w:rPr>
          <w:sz w:val="22"/>
          <w:szCs w:val="22"/>
        </w:rPr>
        <w:t xml:space="preserve"> e (</w:t>
      </w:r>
      <w:proofErr w:type="spellStart"/>
      <w:r>
        <w:rPr>
          <w:sz w:val="22"/>
          <w:szCs w:val="22"/>
        </w:rPr>
        <w:t>ii</w:t>
      </w:r>
      <w:proofErr w:type="spellEnd"/>
      <w:r>
        <w:rPr>
          <w:sz w:val="22"/>
          <w:szCs w:val="22"/>
        </w:rPr>
        <w:t>)</w:t>
      </w:r>
      <w:r w:rsidR="00471C85" w:rsidRPr="00471C85">
        <w:rPr>
          <w:sz w:val="22"/>
          <w:szCs w:val="22"/>
        </w:rPr>
        <w:t xml:space="preserve"> </w:t>
      </w:r>
      <w:r>
        <w:rPr>
          <w:sz w:val="22"/>
          <w:szCs w:val="22"/>
        </w:rPr>
        <w:t xml:space="preserve">melhorar </w:t>
      </w:r>
      <w:r w:rsidR="00471C85" w:rsidRPr="00471C85">
        <w:rPr>
          <w:sz w:val="22"/>
          <w:szCs w:val="22"/>
        </w:rPr>
        <w:t xml:space="preserve">o preenchimento </w:t>
      </w:r>
      <w:r>
        <w:rPr>
          <w:sz w:val="22"/>
          <w:szCs w:val="22"/>
        </w:rPr>
        <w:t xml:space="preserve">dos </w:t>
      </w:r>
      <w:r>
        <w:rPr>
          <w:sz w:val="22"/>
          <w:szCs w:val="22"/>
        </w:rPr>
        <w:lastRenderedPageBreak/>
        <w:t>vazios do concreto,</w:t>
      </w:r>
      <w:r w:rsidR="00471C85" w:rsidRPr="00471C85">
        <w:rPr>
          <w:sz w:val="22"/>
          <w:szCs w:val="22"/>
        </w:rPr>
        <w:t xml:space="preserve"> devido ao tamanho reduzido de suas partículas, aumentando assim a durabilidade do material</w:t>
      </w:r>
      <w:r>
        <w:rPr>
          <w:sz w:val="22"/>
          <w:szCs w:val="22"/>
        </w:rPr>
        <w:t xml:space="preserve"> a longo prazo.</w:t>
      </w:r>
    </w:p>
    <w:p w14:paraId="7E48FBFB" w14:textId="77777777" w:rsidR="00471C85" w:rsidRPr="00471C85" w:rsidRDefault="00471C85" w:rsidP="00471C85">
      <w:pPr>
        <w:ind w:firstLine="709"/>
        <w:jc w:val="both"/>
        <w:rPr>
          <w:sz w:val="22"/>
          <w:szCs w:val="22"/>
        </w:rPr>
      </w:pPr>
    </w:p>
    <w:p w14:paraId="50F7BB14"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4AD0C183" w14:textId="3D5CF9A1" w:rsidR="00A571D4" w:rsidRDefault="00E74C1E" w:rsidP="00C619CC">
      <w:pPr>
        <w:jc w:val="both"/>
        <w:rPr>
          <w:sz w:val="22"/>
          <w:szCs w:val="22"/>
        </w:rPr>
      </w:pPr>
      <w:r w:rsidRPr="00437A35">
        <w:rPr>
          <w:sz w:val="22"/>
          <w:szCs w:val="24"/>
        </w:rPr>
        <w:tab/>
      </w:r>
      <w:r w:rsidR="00C619CC" w:rsidRPr="005C457A">
        <w:rPr>
          <w:sz w:val="22"/>
          <w:szCs w:val="22"/>
        </w:rPr>
        <w:t xml:space="preserve">O traço </w:t>
      </w:r>
      <w:r w:rsidR="005D25E1">
        <w:rPr>
          <w:sz w:val="22"/>
          <w:szCs w:val="22"/>
        </w:rPr>
        <w:t>proposto para o concreto de referência</w:t>
      </w:r>
      <w:r w:rsidR="00C619CC">
        <w:rPr>
          <w:sz w:val="22"/>
          <w:szCs w:val="22"/>
        </w:rPr>
        <w:t xml:space="preserve"> (</w:t>
      </w:r>
      <w:r w:rsidR="00C619CC" w:rsidRPr="005C457A">
        <w:rPr>
          <w:sz w:val="22"/>
          <w:szCs w:val="22"/>
        </w:rPr>
        <w:t>1:0,44:1,02:0,67:1,25:0,45</w:t>
      </w:r>
      <w:r w:rsidR="00C619CC">
        <w:rPr>
          <w:sz w:val="22"/>
          <w:szCs w:val="22"/>
        </w:rPr>
        <w:t>)</w:t>
      </w:r>
      <w:r w:rsidR="00C619CC" w:rsidRPr="005C457A">
        <w:rPr>
          <w:sz w:val="22"/>
          <w:szCs w:val="22"/>
        </w:rPr>
        <w:t xml:space="preserve"> foi desenvolvido</w:t>
      </w:r>
      <w:r w:rsidR="00C619CC">
        <w:rPr>
          <w:sz w:val="22"/>
          <w:szCs w:val="22"/>
        </w:rPr>
        <w:t xml:space="preserve"> por uma central dosadora de concreto (</w:t>
      </w:r>
      <w:r w:rsidR="005D25E1">
        <w:rPr>
          <w:sz w:val="22"/>
          <w:szCs w:val="22"/>
        </w:rPr>
        <w:t xml:space="preserve">CDC - </w:t>
      </w:r>
      <w:r w:rsidR="00C619CC">
        <w:rPr>
          <w:sz w:val="22"/>
          <w:szCs w:val="22"/>
        </w:rPr>
        <w:t>parceira da pesquisa)</w:t>
      </w:r>
      <w:r w:rsidR="00C619CC" w:rsidRPr="005C457A">
        <w:rPr>
          <w:sz w:val="22"/>
          <w:szCs w:val="22"/>
        </w:rPr>
        <w:t xml:space="preserve"> para alcançar uma resistência à compressão de 40 MPa aos 28 dias, tendo um consumo de cimento de 410 kg/m³ e abatimento de cone de (12±2) cm.</w:t>
      </w:r>
      <w:r w:rsidR="00C619CC">
        <w:rPr>
          <w:sz w:val="22"/>
          <w:szCs w:val="22"/>
        </w:rPr>
        <w:t xml:space="preserve"> Foram então produzidos três concretos</w:t>
      </w:r>
      <w:r w:rsidR="00A571D4" w:rsidRPr="005C457A">
        <w:rPr>
          <w:sz w:val="22"/>
          <w:szCs w:val="22"/>
        </w:rPr>
        <w:t xml:space="preserve">: concreto referência, o concreto com substituição de 50% da areia natural por pó de vidro e o concreto com substituição total da areia natural por pó de vidro. </w:t>
      </w:r>
    </w:p>
    <w:p w14:paraId="459C90DC" w14:textId="0B7155ED" w:rsidR="00EB684C" w:rsidRDefault="00EB684C" w:rsidP="00A571D4">
      <w:pPr>
        <w:ind w:firstLine="709"/>
        <w:jc w:val="both"/>
        <w:rPr>
          <w:sz w:val="22"/>
          <w:szCs w:val="22"/>
        </w:rPr>
      </w:pPr>
      <w:r w:rsidRPr="005C457A">
        <w:rPr>
          <w:sz w:val="22"/>
          <w:szCs w:val="22"/>
        </w:rPr>
        <w:t xml:space="preserve">Para a produção dos concretos propostos utilizou-se o cimento Portland composto com </w:t>
      </w:r>
      <w:proofErr w:type="spellStart"/>
      <w:r w:rsidRPr="005C457A">
        <w:rPr>
          <w:sz w:val="22"/>
          <w:szCs w:val="22"/>
        </w:rPr>
        <w:t>Filler</w:t>
      </w:r>
      <w:proofErr w:type="spellEnd"/>
      <w:r w:rsidRPr="005C457A">
        <w:rPr>
          <w:sz w:val="22"/>
          <w:szCs w:val="22"/>
        </w:rPr>
        <w:t xml:space="preserve"> (CP II F 40), três agregados miúdos (areia natural, areia de britagem</w:t>
      </w:r>
      <w:r w:rsidR="005D25E1">
        <w:rPr>
          <w:sz w:val="22"/>
          <w:szCs w:val="22"/>
        </w:rPr>
        <w:t xml:space="preserve"> - usadas pela CDC;</w:t>
      </w:r>
      <w:r w:rsidRPr="005C457A">
        <w:rPr>
          <w:sz w:val="22"/>
          <w:szCs w:val="22"/>
        </w:rPr>
        <w:t xml:space="preserve"> e pó de vidro), duas britas graníticas (brita zero e brita um) e aditivo </w:t>
      </w:r>
      <w:r w:rsidR="00C234D7">
        <w:rPr>
          <w:sz w:val="22"/>
          <w:szCs w:val="22"/>
        </w:rPr>
        <w:t xml:space="preserve">plastificante </w:t>
      </w:r>
      <w:r w:rsidRPr="00A571D4">
        <w:rPr>
          <w:i/>
          <w:sz w:val="22"/>
          <w:szCs w:val="22"/>
        </w:rPr>
        <w:t>(</w:t>
      </w:r>
      <w:proofErr w:type="spellStart"/>
      <w:r w:rsidRPr="00A571D4">
        <w:rPr>
          <w:i/>
          <w:sz w:val="22"/>
          <w:szCs w:val="22"/>
        </w:rPr>
        <w:t>Tec</w:t>
      </w:r>
      <w:proofErr w:type="spellEnd"/>
      <w:r w:rsidRPr="00A571D4">
        <w:rPr>
          <w:i/>
          <w:sz w:val="22"/>
          <w:szCs w:val="22"/>
        </w:rPr>
        <w:t xml:space="preserve"> – </w:t>
      </w:r>
      <w:proofErr w:type="spellStart"/>
      <w:r w:rsidRPr="00A571D4">
        <w:rPr>
          <w:i/>
          <w:sz w:val="22"/>
          <w:szCs w:val="22"/>
        </w:rPr>
        <w:t>Mult</w:t>
      </w:r>
      <w:proofErr w:type="spellEnd"/>
      <w:r w:rsidRPr="00A571D4">
        <w:rPr>
          <w:i/>
          <w:sz w:val="22"/>
          <w:szCs w:val="22"/>
        </w:rPr>
        <w:t xml:space="preserve"> 900)</w:t>
      </w:r>
      <w:r w:rsidRPr="005C457A">
        <w:rPr>
          <w:sz w:val="22"/>
          <w:szCs w:val="22"/>
        </w:rPr>
        <w:t>.</w:t>
      </w:r>
    </w:p>
    <w:p w14:paraId="37C53C20" w14:textId="4BD3093E" w:rsidR="00C619CC" w:rsidRPr="005C457A" w:rsidRDefault="3E2B6792" w:rsidP="3E2B6792">
      <w:pPr>
        <w:ind w:firstLine="709"/>
        <w:jc w:val="both"/>
        <w:rPr>
          <w:sz w:val="22"/>
          <w:szCs w:val="22"/>
        </w:rPr>
      </w:pPr>
      <w:r w:rsidRPr="3E2B6792">
        <w:rPr>
          <w:sz w:val="22"/>
          <w:szCs w:val="22"/>
        </w:rPr>
        <w:t>Os agregados foram caracterizados de acordo com as respectivas normas técnicas em vig</w:t>
      </w:r>
      <w:r w:rsidR="005D25E1">
        <w:rPr>
          <w:sz w:val="22"/>
          <w:szCs w:val="22"/>
        </w:rPr>
        <w:t>or</w:t>
      </w:r>
      <w:r w:rsidRPr="3E2B6792">
        <w:rPr>
          <w:sz w:val="22"/>
          <w:szCs w:val="22"/>
        </w:rPr>
        <w:t xml:space="preserve">. </w:t>
      </w:r>
      <w:r w:rsidR="00FA53F7">
        <w:rPr>
          <w:sz w:val="22"/>
          <w:szCs w:val="22"/>
        </w:rPr>
        <w:t>O Quadro</w:t>
      </w:r>
      <w:r w:rsidRPr="3E2B6792">
        <w:rPr>
          <w:sz w:val="22"/>
          <w:szCs w:val="22"/>
        </w:rPr>
        <w:t xml:space="preserve"> 1 resume as principais propriedades dos materiais envolvidos no estudo e a Figura 1 traz as curvas granulométricas dos agregados miúdos </w:t>
      </w:r>
      <w:r w:rsidR="007D3D14">
        <w:rPr>
          <w:sz w:val="22"/>
          <w:szCs w:val="22"/>
        </w:rPr>
        <w:t xml:space="preserve">e das composições dos agregados miúdos </w:t>
      </w:r>
      <w:r w:rsidRPr="3E2B6792">
        <w:rPr>
          <w:sz w:val="22"/>
          <w:szCs w:val="22"/>
        </w:rPr>
        <w:t>empregad</w:t>
      </w:r>
      <w:r w:rsidR="007D3D14">
        <w:rPr>
          <w:sz w:val="22"/>
          <w:szCs w:val="22"/>
        </w:rPr>
        <w:t>as</w:t>
      </w:r>
      <w:r w:rsidRPr="3E2B6792">
        <w:rPr>
          <w:sz w:val="22"/>
          <w:szCs w:val="22"/>
        </w:rPr>
        <w:t xml:space="preserve"> na produção dos concretos. O cimento e o aditivo foram caracterizados por seus respectivos fabricantes.</w:t>
      </w:r>
      <w:r w:rsidR="005D25E1">
        <w:rPr>
          <w:sz w:val="22"/>
          <w:szCs w:val="22"/>
        </w:rPr>
        <w:t xml:space="preserve"> </w:t>
      </w:r>
    </w:p>
    <w:p w14:paraId="52FB549D" w14:textId="52285D5B" w:rsidR="00C619CC" w:rsidRPr="005C457A" w:rsidRDefault="00C619CC" w:rsidP="3E2B6792">
      <w:pPr>
        <w:ind w:firstLine="709"/>
        <w:jc w:val="both"/>
        <w:rPr>
          <w:sz w:val="22"/>
          <w:szCs w:val="22"/>
        </w:rPr>
      </w:pPr>
    </w:p>
    <w:p w14:paraId="4DDFBBEB" w14:textId="3E485B4E" w:rsidR="00FA53F7" w:rsidRPr="005C457A" w:rsidRDefault="00FA53F7" w:rsidP="3E2B6792">
      <w:pPr>
        <w:jc w:val="both"/>
        <w:rPr>
          <w:sz w:val="22"/>
          <w:szCs w:val="22"/>
        </w:rPr>
      </w:pPr>
      <w:r>
        <w:rPr>
          <w:sz w:val="22"/>
          <w:szCs w:val="22"/>
        </w:rPr>
        <w:t>Quadro</w:t>
      </w:r>
      <w:r w:rsidR="3E2B6792" w:rsidRPr="3E2B6792">
        <w:rPr>
          <w:sz w:val="22"/>
          <w:szCs w:val="22"/>
        </w:rPr>
        <w:t xml:space="preserve"> 1. Principais propriedades </w:t>
      </w:r>
      <w:r>
        <w:rPr>
          <w:sz w:val="22"/>
          <w:szCs w:val="22"/>
        </w:rPr>
        <w:t>do cimento e agregados</w:t>
      </w:r>
    </w:p>
    <w:tbl>
      <w:tblPr>
        <w:tblStyle w:val="TabelaSimples2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835"/>
        <w:gridCol w:w="1560"/>
        <w:gridCol w:w="1417"/>
        <w:gridCol w:w="1086"/>
        <w:gridCol w:w="1086"/>
        <w:gridCol w:w="1087"/>
      </w:tblGrid>
      <w:tr w:rsidR="00FA53F7" w:rsidRPr="00E1559B" w14:paraId="2058AF55" w14:textId="3AE4B567" w:rsidTr="00F506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gridSpan w:val="2"/>
            <w:tcBorders>
              <w:bottom w:val="none" w:sz="0" w:space="0" w:color="auto"/>
            </w:tcBorders>
            <w:vAlign w:val="center"/>
          </w:tcPr>
          <w:p w14:paraId="737E58EB" w14:textId="7DE87423" w:rsidR="00FA53F7" w:rsidRPr="00E1559B" w:rsidRDefault="00FA53F7" w:rsidP="00E1559B">
            <w:pPr>
              <w:jc w:val="center"/>
              <w:rPr>
                <w:bCs w:val="0"/>
                <w:color w:val="000000" w:themeColor="text1"/>
              </w:rPr>
            </w:pPr>
            <w:r w:rsidRPr="00E1559B">
              <w:rPr>
                <w:bCs w:val="0"/>
                <w:color w:val="000000" w:themeColor="text1"/>
              </w:rPr>
              <w:t>Cimento CP II F 40</w:t>
            </w:r>
          </w:p>
        </w:tc>
        <w:tc>
          <w:tcPr>
            <w:cnfStyle w:val="000100000000" w:firstRow="0" w:lastRow="0" w:firstColumn="0" w:lastColumn="1" w:oddVBand="0" w:evenVBand="0" w:oddHBand="0" w:evenHBand="0" w:firstRowFirstColumn="0" w:firstRowLastColumn="0" w:lastRowFirstColumn="0" w:lastRowLastColumn="0"/>
            <w:tcW w:w="4676" w:type="dxa"/>
            <w:gridSpan w:val="4"/>
            <w:tcBorders>
              <w:bottom w:val="none" w:sz="0" w:space="0" w:color="auto"/>
            </w:tcBorders>
            <w:vAlign w:val="center"/>
          </w:tcPr>
          <w:p w14:paraId="730FFB58" w14:textId="109DEE65" w:rsidR="00FA53F7" w:rsidRPr="00E1559B" w:rsidRDefault="00FA53F7" w:rsidP="00E1559B">
            <w:pPr>
              <w:jc w:val="center"/>
              <w:rPr>
                <w:color w:val="000000" w:themeColor="text1"/>
              </w:rPr>
            </w:pPr>
            <w:r w:rsidRPr="00E1559B">
              <w:t>Agregados miúdos</w:t>
            </w:r>
          </w:p>
        </w:tc>
      </w:tr>
      <w:tr w:rsidR="00E1559B" w:rsidRPr="00E1559B" w14:paraId="392E507B" w14:textId="77777777" w:rsidTr="00F506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one" w:sz="0" w:space="0" w:color="auto"/>
              <w:bottom w:val="none" w:sz="0" w:space="0" w:color="auto"/>
            </w:tcBorders>
            <w:vAlign w:val="center"/>
          </w:tcPr>
          <w:p w14:paraId="57D474D4" w14:textId="18A44538" w:rsidR="00E1559B" w:rsidRPr="00E1559B" w:rsidRDefault="00E1559B" w:rsidP="00E1559B">
            <w:pPr>
              <w:jc w:val="center"/>
              <w:rPr>
                <w:color w:val="000000" w:themeColor="text1"/>
              </w:rPr>
            </w:pPr>
            <w:r w:rsidRPr="00E1559B">
              <w:rPr>
                <w:color w:val="000000" w:themeColor="text1"/>
              </w:rPr>
              <w:t>Análise física e mecânica</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top w:val="none" w:sz="0" w:space="0" w:color="auto"/>
              <w:left w:val="none" w:sz="0" w:space="0" w:color="auto"/>
              <w:bottom w:val="none" w:sz="0" w:space="0" w:color="auto"/>
              <w:right w:val="none" w:sz="0" w:space="0" w:color="auto"/>
            </w:tcBorders>
            <w:vAlign w:val="center"/>
          </w:tcPr>
          <w:p w14:paraId="0C92C88D" w14:textId="095623D0" w:rsidR="00E1559B" w:rsidRPr="00E1559B" w:rsidRDefault="00E1559B" w:rsidP="00E1559B">
            <w:pPr>
              <w:jc w:val="center"/>
              <w:rPr>
                <w:b/>
                <w:color w:val="000000" w:themeColor="text1"/>
              </w:rPr>
            </w:pPr>
            <w:r w:rsidRPr="00E1559B">
              <w:rPr>
                <w:b/>
                <w:color w:val="000000" w:themeColor="text1"/>
              </w:rPr>
              <w:t>Propriedades</w:t>
            </w:r>
          </w:p>
        </w:tc>
        <w:tc>
          <w:tcPr>
            <w:cnfStyle w:val="000001000000" w:firstRow="0" w:lastRow="0" w:firstColumn="0" w:lastColumn="0" w:oddVBand="0" w:evenVBand="1" w:oddHBand="0" w:evenHBand="0" w:firstRowFirstColumn="0" w:firstRowLastColumn="0" w:lastRowFirstColumn="0" w:lastRowLastColumn="0"/>
            <w:tcW w:w="1086" w:type="dxa"/>
            <w:vMerge w:val="restart"/>
            <w:tcBorders>
              <w:top w:val="none" w:sz="0" w:space="0" w:color="auto"/>
              <w:left w:val="none" w:sz="0" w:space="0" w:color="auto"/>
              <w:bottom w:val="none" w:sz="0" w:space="0" w:color="auto"/>
              <w:right w:val="none" w:sz="0" w:space="0" w:color="auto"/>
            </w:tcBorders>
            <w:vAlign w:val="center"/>
          </w:tcPr>
          <w:p w14:paraId="76249366" w14:textId="1EF8F1B0" w:rsidR="00E1559B" w:rsidRPr="00E1559B" w:rsidRDefault="00E1559B" w:rsidP="00E1559B">
            <w:pPr>
              <w:jc w:val="center"/>
              <w:rPr>
                <w:b/>
                <w:color w:val="000000" w:themeColor="text1"/>
              </w:rPr>
            </w:pPr>
            <w:r w:rsidRPr="00E1559B">
              <w:rPr>
                <w:b/>
                <w:bCs/>
              </w:rPr>
              <w:t>Pó de vidro (</w:t>
            </w:r>
            <w:proofErr w:type="spellStart"/>
            <w:r w:rsidRPr="00E1559B">
              <w:rPr>
                <w:b/>
                <w:bCs/>
              </w:rPr>
              <w:t>PdV</w:t>
            </w:r>
            <w:proofErr w:type="spellEnd"/>
            <w:r w:rsidRPr="00E1559B">
              <w:rPr>
                <w:b/>
                <w:bCs/>
              </w:rPr>
              <w:t>)</w:t>
            </w:r>
          </w:p>
        </w:tc>
        <w:tc>
          <w:tcPr>
            <w:cnfStyle w:val="000010000000" w:firstRow="0" w:lastRow="0" w:firstColumn="0" w:lastColumn="0" w:oddVBand="1" w:evenVBand="0" w:oddHBand="0" w:evenHBand="0" w:firstRowFirstColumn="0" w:firstRowLastColumn="0" w:lastRowFirstColumn="0" w:lastRowLastColumn="0"/>
            <w:tcW w:w="1086" w:type="dxa"/>
            <w:vMerge w:val="restart"/>
            <w:tcBorders>
              <w:top w:val="none" w:sz="0" w:space="0" w:color="auto"/>
              <w:left w:val="none" w:sz="0" w:space="0" w:color="auto"/>
              <w:bottom w:val="none" w:sz="0" w:space="0" w:color="auto"/>
              <w:right w:val="none" w:sz="0" w:space="0" w:color="auto"/>
            </w:tcBorders>
            <w:vAlign w:val="center"/>
          </w:tcPr>
          <w:p w14:paraId="7437A983" w14:textId="1F6160F6" w:rsidR="00E1559B" w:rsidRPr="00E1559B" w:rsidRDefault="00E1559B" w:rsidP="00E1559B">
            <w:pPr>
              <w:jc w:val="center"/>
              <w:rPr>
                <w:b/>
                <w:color w:val="000000" w:themeColor="text1"/>
              </w:rPr>
            </w:pPr>
            <w:r w:rsidRPr="00E1559B">
              <w:rPr>
                <w:b/>
                <w:bCs/>
              </w:rPr>
              <w:t>Areia Natural (AN)</w:t>
            </w:r>
          </w:p>
        </w:tc>
        <w:tc>
          <w:tcPr>
            <w:cnfStyle w:val="000100000000" w:firstRow="0" w:lastRow="0" w:firstColumn="0" w:lastColumn="1" w:oddVBand="0" w:evenVBand="0" w:oddHBand="0" w:evenHBand="0" w:firstRowFirstColumn="0" w:firstRowLastColumn="0" w:lastRowFirstColumn="0" w:lastRowLastColumn="0"/>
            <w:tcW w:w="1087" w:type="dxa"/>
            <w:vMerge w:val="restart"/>
            <w:tcBorders>
              <w:top w:val="none" w:sz="0" w:space="0" w:color="auto"/>
              <w:bottom w:val="none" w:sz="0" w:space="0" w:color="auto"/>
            </w:tcBorders>
            <w:vAlign w:val="center"/>
          </w:tcPr>
          <w:p w14:paraId="166EF15E" w14:textId="75356FEB" w:rsidR="00E1559B" w:rsidRPr="00E1559B" w:rsidRDefault="00E1559B" w:rsidP="00E1559B">
            <w:pPr>
              <w:jc w:val="center"/>
              <w:rPr>
                <w:color w:val="000000" w:themeColor="text1"/>
              </w:rPr>
            </w:pPr>
            <w:r w:rsidRPr="00E1559B">
              <w:t>Areia Britada (AB)</w:t>
            </w:r>
          </w:p>
        </w:tc>
      </w:tr>
      <w:tr w:rsidR="00E1559B" w:rsidRPr="00E1559B" w14:paraId="7CF038EC" w14:textId="472A5162" w:rsidTr="00F506B1">
        <w:trPr>
          <w:trHeight w:val="30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FF98B0C" w14:textId="3698A771" w:rsidR="00E1559B" w:rsidRPr="00E1559B" w:rsidRDefault="00E1559B" w:rsidP="00E1559B">
            <w:pPr>
              <w:jc w:val="center"/>
              <w:rPr>
                <w:b w:val="0"/>
                <w:bCs w:val="0"/>
                <w:color w:val="000000" w:themeColor="text1"/>
              </w:rPr>
            </w:pPr>
            <w:r w:rsidRPr="00E1559B">
              <w:rPr>
                <w:b w:val="0"/>
                <w:bCs w:val="0"/>
                <w:color w:val="000000" w:themeColor="text1"/>
              </w:rPr>
              <w:t>Início de pega</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vAlign w:val="center"/>
          </w:tcPr>
          <w:p w14:paraId="66B23F72" w14:textId="79A3B506" w:rsidR="00E1559B" w:rsidRPr="00E1559B" w:rsidRDefault="00E1559B" w:rsidP="00E1559B">
            <w:pPr>
              <w:jc w:val="center"/>
              <w:rPr>
                <w:b/>
                <w:bCs/>
                <w:color w:val="000000" w:themeColor="text1"/>
              </w:rPr>
            </w:pPr>
            <w:r w:rsidRPr="00E1559B">
              <w:rPr>
                <w:color w:val="000000" w:themeColor="text1"/>
              </w:rPr>
              <w:t>256,74 min.</w:t>
            </w:r>
          </w:p>
        </w:tc>
        <w:tc>
          <w:tcPr>
            <w:cnfStyle w:val="000001000000" w:firstRow="0" w:lastRow="0" w:firstColumn="0" w:lastColumn="0" w:oddVBand="0" w:evenVBand="1" w:oddHBand="0" w:evenHBand="0" w:firstRowFirstColumn="0" w:firstRowLastColumn="0" w:lastRowFirstColumn="0" w:lastRowLastColumn="0"/>
            <w:tcW w:w="1417" w:type="dxa"/>
            <w:vMerge/>
            <w:tcBorders>
              <w:left w:val="none" w:sz="0" w:space="0" w:color="auto"/>
              <w:right w:val="none" w:sz="0" w:space="0" w:color="auto"/>
            </w:tcBorders>
            <w:vAlign w:val="center"/>
          </w:tcPr>
          <w:p w14:paraId="10F2E889" w14:textId="77777777" w:rsidR="00E1559B" w:rsidRPr="00E1559B" w:rsidRDefault="00E1559B" w:rsidP="00E1559B">
            <w:pPr>
              <w:jc w:val="center"/>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086" w:type="dxa"/>
            <w:vMerge/>
            <w:tcBorders>
              <w:left w:val="none" w:sz="0" w:space="0" w:color="auto"/>
              <w:right w:val="none" w:sz="0" w:space="0" w:color="auto"/>
            </w:tcBorders>
            <w:vAlign w:val="center"/>
          </w:tcPr>
          <w:p w14:paraId="2D4B6DBC" w14:textId="315589FC" w:rsidR="00E1559B" w:rsidRPr="00E1559B" w:rsidRDefault="00E1559B" w:rsidP="00E1559B">
            <w:pPr>
              <w:jc w:val="cente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86" w:type="dxa"/>
            <w:vMerge/>
            <w:tcBorders>
              <w:left w:val="none" w:sz="0" w:space="0" w:color="auto"/>
              <w:right w:val="none" w:sz="0" w:space="0" w:color="auto"/>
            </w:tcBorders>
            <w:vAlign w:val="center"/>
          </w:tcPr>
          <w:p w14:paraId="7BF35EF0" w14:textId="53DF1C82" w:rsidR="00E1559B" w:rsidRPr="00E1559B" w:rsidRDefault="00E1559B" w:rsidP="00E1559B">
            <w:pPr>
              <w:jc w:val="center"/>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087" w:type="dxa"/>
            <w:vMerge/>
            <w:vAlign w:val="center"/>
          </w:tcPr>
          <w:p w14:paraId="3D810487" w14:textId="3F6D017E" w:rsidR="00E1559B" w:rsidRPr="00E1559B" w:rsidRDefault="00E1559B" w:rsidP="00E1559B">
            <w:pPr>
              <w:jc w:val="center"/>
              <w:rPr>
                <w:b w:val="0"/>
                <w:color w:val="000000" w:themeColor="text1"/>
              </w:rPr>
            </w:pPr>
          </w:p>
        </w:tc>
      </w:tr>
      <w:tr w:rsidR="00E1559B" w:rsidRPr="00E1559B" w14:paraId="23A39CFE" w14:textId="19978669" w:rsidTr="00F506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4A731D4D" w14:textId="4E64B655" w:rsidR="00E1559B" w:rsidRPr="00E1559B" w:rsidRDefault="00E1559B" w:rsidP="00E1559B">
            <w:pPr>
              <w:jc w:val="center"/>
              <w:rPr>
                <w:b w:val="0"/>
                <w:bCs w:val="0"/>
                <w:color w:val="000000" w:themeColor="text1"/>
              </w:rPr>
            </w:pPr>
            <w:r w:rsidRPr="00E1559B">
              <w:rPr>
                <w:b w:val="0"/>
                <w:bCs w:val="0"/>
                <w:color w:val="000000" w:themeColor="text1"/>
              </w:rPr>
              <w:t>Fim de pega</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vAlign w:val="center"/>
          </w:tcPr>
          <w:p w14:paraId="4EB105A0" w14:textId="0F2F903E" w:rsidR="00E1559B" w:rsidRPr="00E1559B" w:rsidRDefault="00E1559B" w:rsidP="00E1559B">
            <w:pPr>
              <w:jc w:val="center"/>
              <w:rPr>
                <w:b/>
                <w:bCs/>
                <w:color w:val="000000" w:themeColor="text1"/>
              </w:rPr>
            </w:pPr>
            <w:r w:rsidRPr="00E1559B">
              <w:rPr>
                <w:color w:val="000000" w:themeColor="text1"/>
              </w:rPr>
              <w:t>330,22 min.</w:t>
            </w:r>
          </w:p>
        </w:tc>
        <w:tc>
          <w:tcPr>
            <w:cnfStyle w:val="000001000000" w:firstRow="0" w:lastRow="0" w:firstColumn="0" w:lastColumn="0" w:oddVBand="0" w:evenVBand="1" w:oddHBand="0" w:evenHBand="0" w:firstRowFirstColumn="0" w:firstRowLastColumn="0" w:lastRowFirstColumn="0" w:lastRowLastColumn="0"/>
            <w:tcW w:w="1417" w:type="dxa"/>
            <w:vMerge w:val="restart"/>
            <w:tcBorders>
              <w:top w:val="none" w:sz="0" w:space="0" w:color="auto"/>
              <w:left w:val="none" w:sz="0" w:space="0" w:color="auto"/>
              <w:bottom w:val="none" w:sz="0" w:space="0" w:color="auto"/>
              <w:right w:val="none" w:sz="0" w:space="0" w:color="auto"/>
            </w:tcBorders>
            <w:vAlign w:val="center"/>
          </w:tcPr>
          <w:p w14:paraId="2035C1B5" w14:textId="181E15B8" w:rsidR="00E1559B" w:rsidRPr="00E1559B" w:rsidRDefault="00E1559B" w:rsidP="00E1559B">
            <w:pPr>
              <w:jc w:val="center"/>
              <w:rPr>
                <w:color w:val="000000" w:themeColor="text1"/>
              </w:rPr>
            </w:pPr>
            <w:r w:rsidRPr="00E1559B">
              <w:rPr>
                <w:b/>
                <w:bCs/>
              </w:rPr>
              <w:t>Massa específica (kg/dm³)</w:t>
            </w:r>
          </w:p>
        </w:tc>
        <w:tc>
          <w:tcPr>
            <w:cnfStyle w:val="000010000000" w:firstRow="0" w:lastRow="0" w:firstColumn="0" w:lastColumn="0" w:oddVBand="1" w:evenVBand="0" w:oddHBand="0" w:evenHBand="0" w:firstRowFirstColumn="0" w:firstRowLastColumn="0" w:lastRowFirstColumn="0" w:lastRowLastColumn="0"/>
            <w:tcW w:w="1086" w:type="dxa"/>
            <w:vMerge w:val="restart"/>
            <w:tcBorders>
              <w:top w:val="none" w:sz="0" w:space="0" w:color="auto"/>
              <w:left w:val="none" w:sz="0" w:space="0" w:color="auto"/>
              <w:bottom w:val="none" w:sz="0" w:space="0" w:color="auto"/>
              <w:right w:val="none" w:sz="0" w:space="0" w:color="auto"/>
            </w:tcBorders>
            <w:vAlign w:val="center"/>
          </w:tcPr>
          <w:p w14:paraId="23216CCB" w14:textId="0664079D" w:rsidR="00E1559B" w:rsidRPr="00E1559B" w:rsidRDefault="00E1559B" w:rsidP="00E1559B">
            <w:pPr>
              <w:jc w:val="center"/>
              <w:rPr>
                <w:color w:val="000000" w:themeColor="text1"/>
              </w:rPr>
            </w:pPr>
            <w:r w:rsidRPr="00E1559B">
              <w:rPr>
                <w:color w:val="000000" w:themeColor="text1"/>
              </w:rPr>
              <w:t>2,27</w:t>
            </w:r>
          </w:p>
        </w:tc>
        <w:tc>
          <w:tcPr>
            <w:cnfStyle w:val="000001000000" w:firstRow="0" w:lastRow="0" w:firstColumn="0" w:lastColumn="0" w:oddVBand="0" w:evenVBand="1" w:oddHBand="0" w:evenHBand="0" w:firstRowFirstColumn="0" w:firstRowLastColumn="0" w:lastRowFirstColumn="0" w:lastRowLastColumn="0"/>
            <w:tcW w:w="1086" w:type="dxa"/>
            <w:vMerge w:val="restart"/>
            <w:tcBorders>
              <w:top w:val="none" w:sz="0" w:space="0" w:color="auto"/>
              <w:left w:val="none" w:sz="0" w:space="0" w:color="auto"/>
              <w:bottom w:val="none" w:sz="0" w:space="0" w:color="auto"/>
              <w:right w:val="none" w:sz="0" w:space="0" w:color="auto"/>
            </w:tcBorders>
            <w:vAlign w:val="center"/>
          </w:tcPr>
          <w:p w14:paraId="61329543" w14:textId="4684C549" w:rsidR="00E1559B" w:rsidRPr="00E1559B" w:rsidRDefault="00E1559B" w:rsidP="00E1559B">
            <w:pPr>
              <w:jc w:val="center"/>
              <w:rPr>
                <w:color w:val="000000" w:themeColor="text1"/>
              </w:rPr>
            </w:pPr>
            <w:r w:rsidRPr="00E1559B">
              <w:rPr>
                <w:color w:val="000000" w:themeColor="text1"/>
              </w:rPr>
              <w:t>2,64</w:t>
            </w:r>
          </w:p>
        </w:tc>
        <w:tc>
          <w:tcPr>
            <w:cnfStyle w:val="000100000000" w:firstRow="0" w:lastRow="0" w:firstColumn="0" w:lastColumn="1" w:oddVBand="0" w:evenVBand="0" w:oddHBand="0" w:evenHBand="0" w:firstRowFirstColumn="0" w:firstRowLastColumn="0" w:lastRowFirstColumn="0" w:lastRowLastColumn="0"/>
            <w:tcW w:w="1087" w:type="dxa"/>
            <w:vMerge w:val="restart"/>
            <w:tcBorders>
              <w:top w:val="none" w:sz="0" w:space="0" w:color="auto"/>
              <w:bottom w:val="none" w:sz="0" w:space="0" w:color="auto"/>
            </w:tcBorders>
            <w:vAlign w:val="center"/>
          </w:tcPr>
          <w:p w14:paraId="650C3C0A" w14:textId="6E9164A6" w:rsidR="00E1559B" w:rsidRPr="00E1559B" w:rsidRDefault="00E1559B" w:rsidP="00E1559B">
            <w:pPr>
              <w:jc w:val="center"/>
              <w:rPr>
                <w:b w:val="0"/>
                <w:color w:val="000000" w:themeColor="text1"/>
              </w:rPr>
            </w:pPr>
            <w:r w:rsidRPr="00E1559B">
              <w:rPr>
                <w:b w:val="0"/>
                <w:color w:val="000000" w:themeColor="text1"/>
              </w:rPr>
              <w:t>2,72</w:t>
            </w:r>
          </w:p>
        </w:tc>
      </w:tr>
      <w:tr w:rsidR="00E1559B" w:rsidRPr="00E1559B" w14:paraId="344984D6" w14:textId="216839EE" w:rsidTr="00F506B1">
        <w:trPr>
          <w:trHeight w:val="30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638370F" w14:textId="32C8C4F4" w:rsidR="00E1559B" w:rsidRPr="00E1559B" w:rsidRDefault="00E1559B" w:rsidP="00E1559B">
            <w:pPr>
              <w:jc w:val="center"/>
              <w:rPr>
                <w:b w:val="0"/>
                <w:bCs w:val="0"/>
                <w:color w:val="000000" w:themeColor="text1"/>
              </w:rPr>
            </w:pPr>
            <w:r w:rsidRPr="00E1559B">
              <w:rPr>
                <w:b w:val="0"/>
                <w:bCs w:val="0"/>
                <w:color w:val="000000" w:themeColor="text1"/>
              </w:rPr>
              <w:t>Consistência normal</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vAlign w:val="center"/>
          </w:tcPr>
          <w:p w14:paraId="55DA4987" w14:textId="01F54F6F" w:rsidR="00E1559B" w:rsidRPr="00E1559B" w:rsidRDefault="00E1559B" w:rsidP="00E1559B">
            <w:pPr>
              <w:jc w:val="center"/>
              <w:rPr>
                <w:b/>
                <w:bCs/>
                <w:color w:val="000000" w:themeColor="text1"/>
              </w:rPr>
            </w:pPr>
            <w:r w:rsidRPr="00E1559B">
              <w:rPr>
                <w:color w:val="000000" w:themeColor="text1"/>
              </w:rPr>
              <w:t>30,72%</w:t>
            </w:r>
          </w:p>
        </w:tc>
        <w:tc>
          <w:tcPr>
            <w:cnfStyle w:val="000001000000" w:firstRow="0" w:lastRow="0" w:firstColumn="0" w:lastColumn="0" w:oddVBand="0" w:evenVBand="1" w:oddHBand="0" w:evenHBand="0" w:firstRowFirstColumn="0" w:firstRowLastColumn="0" w:lastRowFirstColumn="0" w:lastRowLastColumn="0"/>
            <w:tcW w:w="1417" w:type="dxa"/>
            <w:vMerge/>
            <w:tcBorders>
              <w:left w:val="none" w:sz="0" w:space="0" w:color="auto"/>
              <w:right w:val="none" w:sz="0" w:space="0" w:color="auto"/>
            </w:tcBorders>
            <w:vAlign w:val="center"/>
          </w:tcPr>
          <w:p w14:paraId="5EE9470E" w14:textId="77777777" w:rsidR="00E1559B" w:rsidRPr="00E1559B" w:rsidRDefault="00E1559B" w:rsidP="00E1559B">
            <w:pPr>
              <w:jc w:val="center"/>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086" w:type="dxa"/>
            <w:vMerge/>
            <w:tcBorders>
              <w:left w:val="none" w:sz="0" w:space="0" w:color="auto"/>
              <w:right w:val="none" w:sz="0" w:space="0" w:color="auto"/>
            </w:tcBorders>
            <w:vAlign w:val="center"/>
          </w:tcPr>
          <w:p w14:paraId="3941A9A0" w14:textId="77777777" w:rsidR="00E1559B" w:rsidRPr="00E1559B" w:rsidRDefault="00E1559B" w:rsidP="00E1559B">
            <w:pPr>
              <w:jc w:val="cente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86" w:type="dxa"/>
            <w:vMerge/>
            <w:tcBorders>
              <w:left w:val="none" w:sz="0" w:space="0" w:color="auto"/>
              <w:right w:val="none" w:sz="0" w:space="0" w:color="auto"/>
            </w:tcBorders>
            <w:vAlign w:val="center"/>
          </w:tcPr>
          <w:p w14:paraId="2FC8BB49" w14:textId="77777777" w:rsidR="00E1559B" w:rsidRPr="00E1559B" w:rsidRDefault="00E1559B" w:rsidP="00E1559B">
            <w:pPr>
              <w:jc w:val="center"/>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087" w:type="dxa"/>
            <w:vMerge/>
            <w:vAlign w:val="center"/>
          </w:tcPr>
          <w:p w14:paraId="36832153" w14:textId="6C951EBA" w:rsidR="00E1559B" w:rsidRPr="00E1559B" w:rsidRDefault="00E1559B" w:rsidP="00E1559B">
            <w:pPr>
              <w:jc w:val="center"/>
              <w:rPr>
                <w:b w:val="0"/>
                <w:color w:val="000000" w:themeColor="text1"/>
              </w:rPr>
            </w:pPr>
          </w:p>
        </w:tc>
      </w:tr>
      <w:tr w:rsidR="00E1559B" w:rsidRPr="00E1559B" w14:paraId="01DE5D2D" w14:textId="5FA23A07" w:rsidTr="00F506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355C782D" w14:textId="17C862D5" w:rsidR="00E1559B" w:rsidRPr="00E1559B" w:rsidRDefault="00E1559B" w:rsidP="00E1559B">
            <w:pPr>
              <w:jc w:val="center"/>
              <w:rPr>
                <w:b w:val="0"/>
                <w:bCs w:val="0"/>
                <w:color w:val="000000" w:themeColor="text1"/>
              </w:rPr>
            </w:pPr>
            <w:r w:rsidRPr="00E1559B">
              <w:rPr>
                <w:b w:val="0"/>
                <w:bCs w:val="0"/>
                <w:color w:val="000000" w:themeColor="text1"/>
              </w:rPr>
              <w:t>Finura – Peneira nº 200</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vAlign w:val="center"/>
          </w:tcPr>
          <w:p w14:paraId="5D32A184" w14:textId="4C963022" w:rsidR="00E1559B" w:rsidRPr="00E1559B" w:rsidRDefault="00E1559B" w:rsidP="00E1559B">
            <w:pPr>
              <w:jc w:val="center"/>
              <w:rPr>
                <w:b/>
                <w:bCs/>
                <w:color w:val="000000" w:themeColor="text1"/>
              </w:rPr>
            </w:pPr>
            <w:r w:rsidRPr="00E1559B">
              <w:rPr>
                <w:color w:val="000000" w:themeColor="text1"/>
              </w:rPr>
              <w:t>0,01%</w:t>
            </w:r>
          </w:p>
        </w:tc>
        <w:tc>
          <w:tcPr>
            <w:cnfStyle w:val="000001000000" w:firstRow="0" w:lastRow="0" w:firstColumn="0" w:lastColumn="0" w:oddVBand="0" w:evenVBand="1" w:oddHBand="0" w:evenHBand="0" w:firstRowFirstColumn="0" w:firstRowLastColumn="0" w:lastRowFirstColumn="0" w:lastRowLastColumn="0"/>
            <w:tcW w:w="1417" w:type="dxa"/>
            <w:vMerge/>
            <w:tcBorders>
              <w:top w:val="none" w:sz="0" w:space="0" w:color="auto"/>
              <w:left w:val="none" w:sz="0" w:space="0" w:color="auto"/>
              <w:bottom w:val="none" w:sz="0" w:space="0" w:color="auto"/>
              <w:right w:val="none" w:sz="0" w:space="0" w:color="auto"/>
            </w:tcBorders>
            <w:vAlign w:val="center"/>
          </w:tcPr>
          <w:p w14:paraId="61824339" w14:textId="77777777" w:rsidR="00E1559B" w:rsidRPr="00E1559B" w:rsidRDefault="00E1559B" w:rsidP="00E1559B">
            <w:pPr>
              <w:jc w:val="center"/>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086" w:type="dxa"/>
            <w:vMerge/>
            <w:tcBorders>
              <w:top w:val="none" w:sz="0" w:space="0" w:color="auto"/>
              <w:left w:val="none" w:sz="0" w:space="0" w:color="auto"/>
              <w:bottom w:val="none" w:sz="0" w:space="0" w:color="auto"/>
              <w:right w:val="none" w:sz="0" w:space="0" w:color="auto"/>
            </w:tcBorders>
            <w:vAlign w:val="center"/>
          </w:tcPr>
          <w:p w14:paraId="73EF50A2" w14:textId="77777777" w:rsidR="00E1559B" w:rsidRPr="00E1559B" w:rsidRDefault="00E1559B" w:rsidP="00E1559B">
            <w:pPr>
              <w:jc w:val="cente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86" w:type="dxa"/>
            <w:vMerge/>
            <w:tcBorders>
              <w:top w:val="none" w:sz="0" w:space="0" w:color="auto"/>
              <w:left w:val="none" w:sz="0" w:space="0" w:color="auto"/>
              <w:bottom w:val="none" w:sz="0" w:space="0" w:color="auto"/>
              <w:right w:val="none" w:sz="0" w:space="0" w:color="auto"/>
            </w:tcBorders>
            <w:vAlign w:val="center"/>
          </w:tcPr>
          <w:p w14:paraId="32B5FA84" w14:textId="77777777" w:rsidR="00E1559B" w:rsidRPr="00E1559B" w:rsidRDefault="00E1559B" w:rsidP="00E1559B">
            <w:pPr>
              <w:jc w:val="center"/>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087" w:type="dxa"/>
            <w:vMerge/>
            <w:tcBorders>
              <w:top w:val="none" w:sz="0" w:space="0" w:color="auto"/>
              <w:bottom w:val="none" w:sz="0" w:space="0" w:color="auto"/>
            </w:tcBorders>
            <w:vAlign w:val="center"/>
          </w:tcPr>
          <w:p w14:paraId="6D990651" w14:textId="42C5A0C8" w:rsidR="00E1559B" w:rsidRPr="00E1559B" w:rsidRDefault="00E1559B" w:rsidP="00E1559B">
            <w:pPr>
              <w:jc w:val="center"/>
              <w:rPr>
                <w:b w:val="0"/>
                <w:color w:val="000000" w:themeColor="text1"/>
              </w:rPr>
            </w:pPr>
          </w:p>
        </w:tc>
      </w:tr>
      <w:tr w:rsidR="00E1559B" w:rsidRPr="00E1559B" w14:paraId="0A766580" w14:textId="22944139" w:rsidTr="00F506B1">
        <w:trPr>
          <w:trHeight w:val="30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69915FF" w14:textId="23B5FF24" w:rsidR="00E1559B" w:rsidRPr="00E1559B" w:rsidRDefault="00E1559B" w:rsidP="00E1559B">
            <w:pPr>
              <w:jc w:val="center"/>
              <w:rPr>
                <w:b w:val="0"/>
                <w:bCs w:val="0"/>
                <w:color w:val="000000" w:themeColor="text1"/>
              </w:rPr>
            </w:pPr>
            <w:r w:rsidRPr="00E1559B">
              <w:rPr>
                <w:b w:val="0"/>
                <w:bCs w:val="0"/>
                <w:color w:val="000000" w:themeColor="text1"/>
              </w:rPr>
              <w:t>Finura – Peneira nº 325</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vAlign w:val="center"/>
          </w:tcPr>
          <w:p w14:paraId="3FA889EF" w14:textId="755D26A8" w:rsidR="00E1559B" w:rsidRPr="00E1559B" w:rsidRDefault="00E1559B" w:rsidP="00E1559B">
            <w:pPr>
              <w:jc w:val="center"/>
              <w:rPr>
                <w:b/>
                <w:bCs/>
                <w:color w:val="000000" w:themeColor="text1"/>
              </w:rPr>
            </w:pPr>
            <w:r w:rsidRPr="00E1559B">
              <w:rPr>
                <w:color w:val="000000" w:themeColor="text1"/>
              </w:rPr>
              <w:t>0,60%</w:t>
            </w:r>
          </w:p>
        </w:tc>
        <w:tc>
          <w:tcPr>
            <w:cnfStyle w:val="000001000000" w:firstRow="0" w:lastRow="0" w:firstColumn="0" w:lastColumn="0" w:oddVBand="0" w:evenVBand="1" w:oddHBand="0" w:evenHBand="0" w:firstRowFirstColumn="0" w:firstRowLastColumn="0" w:lastRowFirstColumn="0" w:lastRowLastColumn="0"/>
            <w:tcW w:w="1417" w:type="dxa"/>
            <w:vMerge/>
            <w:tcBorders>
              <w:left w:val="none" w:sz="0" w:space="0" w:color="auto"/>
              <w:right w:val="none" w:sz="0" w:space="0" w:color="auto"/>
            </w:tcBorders>
            <w:vAlign w:val="center"/>
          </w:tcPr>
          <w:p w14:paraId="571AD46B" w14:textId="77777777" w:rsidR="00E1559B" w:rsidRPr="00E1559B" w:rsidRDefault="00E1559B" w:rsidP="00E1559B">
            <w:pPr>
              <w:jc w:val="center"/>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086" w:type="dxa"/>
            <w:vMerge/>
            <w:tcBorders>
              <w:left w:val="none" w:sz="0" w:space="0" w:color="auto"/>
              <w:right w:val="none" w:sz="0" w:space="0" w:color="auto"/>
            </w:tcBorders>
            <w:vAlign w:val="center"/>
          </w:tcPr>
          <w:p w14:paraId="63397B5A" w14:textId="14143A2A" w:rsidR="00E1559B" w:rsidRPr="00E1559B" w:rsidRDefault="00E1559B" w:rsidP="00E1559B">
            <w:pPr>
              <w:jc w:val="cente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86" w:type="dxa"/>
            <w:vMerge/>
            <w:tcBorders>
              <w:left w:val="none" w:sz="0" w:space="0" w:color="auto"/>
              <w:right w:val="none" w:sz="0" w:space="0" w:color="auto"/>
            </w:tcBorders>
            <w:vAlign w:val="center"/>
          </w:tcPr>
          <w:p w14:paraId="79E6F7E3" w14:textId="5F607FD0" w:rsidR="00E1559B" w:rsidRPr="00E1559B" w:rsidRDefault="00E1559B" w:rsidP="00E1559B">
            <w:pPr>
              <w:jc w:val="center"/>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087" w:type="dxa"/>
            <w:vMerge/>
            <w:vAlign w:val="center"/>
          </w:tcPr>
          <w:p w14:paraId="2C96DB7C" w14:textId="3BDE6F4C" w:rsidR="00E1559B" w:rsidRPr="00E1559B" w:rsidRDefault="00E1559B" w:rsidP="00E1559B">
            <w:pPr>
              <w:jc w:val="center"/>
              <w:rPr>
                <w:b w:val="0"/>
                <w:color w:val="000000" w:themeColor="text1"/>
              </w:rPr>
            </w:pPr>
          </w:p>
        </w:tc>
      </w:tr>
      <w:tr w:rsidR="00E1559B" w:rsidRPr="00E1559B" w14:paraId="62FD58D2" w14:textId="326EEB3B" w:rsidTr="00F506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bottom w:val="none" w:sz="0" w:space="0" w:color="auto"/>
            </w:tcBorders>
            <w:vAlign w:val="center"/>
          </w:tcPr>
          <w:p w14:paraId="11BA9F5B" w14:textId="426BEF4A" w:rsidR="00E1559B" w:rsidRPr="00E1559B" w:rsidRDefault="00E1559B" w:rsidP="00E1559B">
            <w:pPr>
              <w:jc w:val="center"/>
              <w:rPr>
                <w:b w:val="0"/>
                <w:bCs w:val="0"/>
                <w:color w:val="000000" w:themeColor="text1"/>
              </w:rPr>
            </w:pPr>
            <w:r w:rsidRPr="00E1559B">
              <w:rPr>
                <w:b w:val="0"/>
                <w:bCs w:val="0"/>
                <w:color w:val="000000" w:themeColor="text1"/>
              </w:rPr>
              <w:t>Massa específica</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vAlign w:val="center"/>
          </w:tcPr>
          <w:p w14:paraId="4DD52A22" w14:textId="572AF20A" w:rsidR="00E1559B" w:rsidRPr="00E1559B" w:rsidRDefault="00E1559B" w:rsidP="00E1559B">
            <w:pPr>
              <w:jc w:val="center"/>
              <w:rPr>
                <w:b/>
                <w:bCs/>
                <w:color w:val="000000" w:themeColor="text1"/>
              </w:rPr>
            </w:pPr>
            <w:r w:rsidRPr="00E1559B">
              <w:rPr>
                <w:color w:val="000000" w:themeColor="text1"/>
              </w:rPr>
              <w:t>3,04 g/cm³</w:t>
            </w:r>
          </w:p>
        </w:tc>
        <w:tc>
          <w:tcPr>
            <w:cnfStyle w:val="000001000000" w:firstRow="0" w:lastRow="0" w:firstColumn="0" w:lastColumn="0" w:oddVBand="0" w:evenVBand="1" w:oddHBand="0" w:evenHBand="0" w:firstRowFirstColumn="0" w:firstRowLastColumn="0" w:lastRowFirstColumn="0" w:lastRowLastColumn="0"/>
            <w:tcW w:w="1417" w:type="dxa"/>
            <w:vMerge w:val="restart"/>
            <w:tcBorders>
              <w:top w:val="none" w:sz="0" w:space="0" w:color="auto"/>
              <w:left w:val="none" w:sz="0" w:space="0" w:color="auto"/>
              <w:bottom w:val="none" w:sz="0" w:space="0" w:color="auto"/>
              <w:right w:val="none" w:sz="0" w:space="0" w:color="auto"/>
            </w:tcBorders>
            <w:vAlign w:val="center"/>
          </w:tcPr>
          <w:p w14:paraId="1D3C807D" w14:textId="19E1FB51" w:rsidR="00E1559B" w:rsidRPr="00E1559B" w:rsidRDefault="00E1559B" w:rsidP="00E1559B">
            <w:pPr>
              <w:jc w:val="center"/>
              <w:rPr>
                <w:color w:val="000000" w:themeColor="text1"/>
              </w:rPr>
            </w:pPr>
            <w:r w:rsidRPr="00E1559B">
              <w:rPr>
                <w:b/>
                <w:bCs/>
              </w:rPr>
              <w:t>Módulo de finura</w:t>
            </w:r>
          </w:p>
        </w:tc>
        <w:tc>
          <w:tcPr>
            <w:cnfStyle w:val="000010000000" w:firstRow="0" w:lastRow="0" w:firstColumn="0" w:lastColumn="0" w:oddVBand="1" w:evenVBand="0" w:oddHBand="0" w:evenHBand="0" w:firstRowFirstColumn="0" w:firstRowLastColumn="0" w:lastRowFirstColumn="0" w:lastRowLastColumn="0"/>
            <w:tcW w:w="1086" w:type="dxa"/>
            <w:vMerge w:val="restart"/>
            <w:tcBorders>
              <w:top w:val="none" w:sz="0" w:space="0" w:color="auto"/>
              <w:left w:val="none" w:sz="0" w:space="0" w:color="auto"/>
              <w:bottom w:val="none" w:sz="0" w:space="0" w:color="auto"/>
              <w:right w:val="none" w:sz="0" w:space="0" w:color="auto"/>
            </w:tcBorders>
            <w:vAlign w:val="center"/>
          </w:tcPr>
          <w:p w14:paraId="7EBC8D02" w14:textId="655EF12F" w:rsidR="00E1559B" w:rsidRPr="00E1559B" w:rsidRDefault="00E1559B" w:rsidP="00E1559B">
            <w:pPr>
              <w:jc w:val="center"/>
              <w:rPr>
                <w:color w:val="000000" w:themeColor="text1"/>
              </w:rPr>
            </w:pPr>
            <w:r w:rsidRPr="00E1559B">
              <w:rPr>
                <w:color w:val="000000" w:themeColor="text1"/>
              </w:rPr>
              <w:t>2,55</w:t>
            </w:r>
          </w:p>
        </w:tc>
        <w:tc>
          <w:tcPr>
            <w:cnfStyle w:val="000001000000" w:firstRow="0" w:lastRow="0" w:firstColumn="0" w:lastColumn="0" w:oddVBand="0" w:evenVBand="1" w:oddHBand="0" w:evenHBand="0" w:firstRowFirstColumn="0" w:firstRowLastColumn="0" w:lastRowFirstColumn="0" w:lastRowLastColumn="0"/>
            <w:tcW w:w="1086" w:type="dxa"/>
            <w:vMerge w:val="restart"/>
            <w:tcBorders>
              <w:top w:val="none" w:sz="0" w:space="0" w:color="auto"/>
              <w:left w:val="none" w:sz="0" w:space="0" w:color="auto"/>
              <w:bottom w:val="none" w:sz="0" w:space="0" w:color="auto"/>
              <w:right w:val="none" w:sz="0" w:space="0" w:color="auto"/>
            </w:tcBorders>
            <w:vAlign w:val="center"/>
          </w:tcPr>
          <w:p w14:paraId="780A65F0" w14:textId="06578EEA" w:rsidR="00E1559B" w:rsidRPr="00E1559B" w:rsidRDefault="00E1559B" w:rsidP="00E1559B">
            <w:pPr>
              <w:jc w:val="center"/>
              <w:rPr>
                <w:color w:val="000000" w:themeColor="text1"/>
              </w:rPr>
            </w:pPr>
            <w:r w:rsidRPr="00E1559B">
              <w:rPr>
                <w:color w:val="000000" w:themeColor="text1"/>
              </w:rPr>
              <w:t>1,06</w:t>
            </w:r>
          </w:p>
        </w:tc>
        <w:tc>
          <w:tcPr>
            <w:cnfStyle w:val="000100000000" w:firstRow="0" w:lastRow="0" w:firstColumn="0" w:lastColumn="1" w:oddVBand="0" w:evenVBand="0" w:oddHBand="0" w:evenHBand="0" w:firstRowFirstColumn="0" w:firstRowLastColumn="0" w:lastRowFirstColumn="0" w:lastRowLastColumn="0"/>
            <w:tcW w:w="1087" w:type="dxa"/>
            <w:vMerge w:val="restart"/>
            <w:tcBorders>
              <w:top w:val="none" w:sz="0" w:space="0" w:color="auto"/>
              <w:bottom w:val="none" w:sz="0" w:space="0" w:color="auto"/>
            </w:tcBorders>
            <w:vAlign w:val="center"/>
          </w:tcPr>
          <w:p w14:paraId="6442FF56" w14:textId="68125DA1" w:rsidR="00E1559B" w:rsidRPr="00E1559B" w:rsidRDefault="00E1559B" w:rsidP="00E1559B">
            <w:pPr>
              <w:jc w:val="center"/>
              <w:rPr>
                <w:b w:val="0"/>
                <w:color w:val="000000" w:themeColor="text1"/>
              </w:rPr>
            </w:pPr>
            <w:r w:rsidRPr="00E1559B">
              <w:rPr>
                <w:b w:val="0"/>
                <w:color w:val="000000" w:themeColor="text1"/>
              </w:rPr>
              <w:t>2,81</w:t>
            </w:r>
          </w:p>
        </w:tc>
      </w:tr>
      <w:tr w:rsidR="00E1559B" w:rsidRPr="00E1559B" w14:paraId="1B087DE7" w14:textId="794A7C53" w:rsidTr="00F506B1">
        <w:trPr>
          <w:trHeight w:val="300"/>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7E2AFA3" w14:textId="735ABEA3" w:rsidR="00E1559B" w:rsidRPr="00E1559B" w:rsidRDefault="00E1559B" w:rsidP="00E1559B">
            <w:pPr>
              <w:jc w:val="center"/>
              <w:rPr>
                <w:b w:val="0"/>
                <w:bCs w:val="0"/>
                <w:color w:val="000000" w:themeColor="text1"/>
              </w:rPr>
            </w:pPr>
            <w:r w:rsidRPr="00E1559B">
              <w:rPr>
                <w:b w:val="0"/>
                <w:bCs w:val="0"/>
                <w:color w:val="000000" w:themeColor="text1"/>
              </w:rPr>
              <w:t>Massa unitária</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vAlign w:val="center"/>
          </w:tcPr>
          <w:p w14:paraId="02CF6D4B" w14:textId="36D60426" w:rsidR="00E1559B" w:rsidRPr="00E1559B" w:rsidRDefault="00E1559B" w:rsidP="00E1559B">
            <w:pPr>
              <w:spacing w:line="259" w:lineRule="auto"/>
              <w:jc w:val="center"/>
              <w:rPr>
                <w:b/>
                <w:bCs/>
                <w:color w:val="000000" w:themeColor="text1"/>
              </w:rPr>
            </w:pPr>
            <w:r w:rsidRPr="00E1559B">
              <w:rPr>
                <w:color w:val="000000" w:themeColor="text1"/>
              </w:rPr>
              <w:t>0,90 g/cm³</w:t>
            </w:r>
          </w:p>
        </w:tc>
        <w:tc>
          <w:tcPr>
            <w:cnfStyle w:val="000001000000" w:firstRow="0" w:lastRow="0" w:firstColumn="0" w:lastColumn="0" w:oddVBand="0" w:evenVBand="1" w:oddHBand="0" w:evenHBand="0" w:firstRowFirstColumn="0" w:firstRowLastColumn="0" w:lastRowFirstColumn="0" w:lastRowLastColumn="0"/>
            <w:tcW w:w="1417" w:type="dxa"/>
            <w:vMerge/>
            <w:tcBorders>
              <w:left w:val="none" w:sz="0" w:space="0" w:color="auto"/>
              <w:right w:val="none" w:sz="0" w:space="0" w:color="auto"/>
            </w:tcBorders>
            <w:vAlign w:val="center"/>
          </w:tcPr>
          <w:p w14:paraId="4249C578" w14:textId="77777777" w:rsidR="00E1559B" w:rsidRPr="00E1559B" w:rsidRDefault="00E1559B" w:rsidP="00E1559B">
            <w:pPr>
              <w:spacing w:line="259" w:lineRule="auto"/>
              <w:jc w:val="center"/>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086" w:type="dxa"/>
            <w:vMerge/>
            <w:tcBorders>
              <w:left w:val="none" w:sz="0" w:space="0" w:color="auto"/>
              <w:right w:val="none" w:sz="0" w:space="0" w:color="auto"/>
            </w:tcBorders>
            <w:vAlign w:val="center"/>
          </w:tcPr>
          <w:p w14:paraId="513A2F97" w14:textId="77777777" w:rsidR="00E1559B" w:rsidRPr="00E1559B" w:rsidRDefault="00E1559B" w:rsidP="00E1559B">
            <w:pPr>
              <w:spacing w:line="259" w:lineRule="auto"/>
              <w:jc w:val="cente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86" w:type="dxa"/>
            <w:vMerge/>
            <w:tcBorders>
              <w:left w:val="none" w:sz="0" w:space="0" w:color="auto"/>
              <w:right w:val="none" w:sz="0" w:space="0" w:color="auto"/>
            </w:tcBorders>
            <w:vAlign w:val="center"/>
          </w:tcPr>
          <w:p w14:paraId="048CA138" w14:textId="77777777" w:rsidR="00E1559B" w:rsidRPr="00E1559B" w:rsidRDefault="00E1559B" w:rsidP="00E1559B">
            <w:pPr>
              <w:spacing w:line="259" w:lineRule="auto"/>
              <w:jc w:val="center"/>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087" w:type="dxa"/>
            <w:vMerge/>
            <w:vAlign w:val="center"/>
          </w:tcPr>
          <w:p w14:paraId="3990868C" w14:textId="41F58F70" w:rsidR="00E1559B" w:rsidRPr="00E1559B" w:rsidRDefault="00E1559B" w:rsidP="00E1559B">
            <w:pPr>
              <w:spacing w:line="259" w:lineRule="auto"/>
              <w:jc w:val="center"/>
              <w:rPr>
                <w:b w:val="0"/>
                <w:color w:val="000000" w:themeColor="text1"/>
              </w:rPr>
            </w:pPr>
          </w:p>
        </w:tc>
      </w:tr>
      <w:tr w:rsidR="00E1559B" w:rsidRPr="00E1559B" w14:paraId="5F44754D" w14:textId="78866F37" w:rsidTr="00F506B1">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tcBorders>
            <w:vAlign w:val="center"/>
          </w:tcPr>
          <w:p w14:paraId="521688A9" w14:textId="0D1100A0" w:rsidR="00E1559B" w:rsidRPr="00E1559B" w:rsidRDefault="00E1559B" w:rsidP="00E1559B">
            <w:pPr>
              <w:jc w:val="center"/>
              <w:rPr>
                <w:b w:val="0"/>
                <w:bCs w:val="0"/>
                <w:color w:val="000000" w:themeColor="text1"/>
              </w:rPr>
            </w:pPr>
            <w:r w:rsidRPr="00E1559B">
              <w:rPr>
                <w:b w:val="0"/>
                <w:bCs w:val="0"/>
                <w:color w:val="000000" w:themeColor="text1"/>
              </w:rPr>
              <w:t xml:space="preserve">Superfície específica </w:t>
            </w:r>
            <w:proofErr w:type="spellStart"/>
            <w:r w:rsidRPr="00E1559B">
              <w:rPr>
                <w:b w:val="0"/>
                <w:bCs w:val="0"/>
                <w:color w:val="000000" w:themeColor="text1"/>
              </w:rPr>
              <w:t>Blaine</w:t>
            </w:r>
            <w:proofErr w:type="spellEnd"/>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right w:val="none" w:sz="0" w:space="0" w:color="auto"/>
            </w:tcBorders>
            <w:vAlign w:val="center"/>
          </w:tcPr>
          <w:p w14:paraId="4C28FE31" w14:textId="10F25B38" w:rsidR="00E1559B" w:rsidRPr="00E1559B" w:rsidRDefault="00E1559B" w:rsidP="00E1559B">
            <w:pPr>
              <w:jc w:val="center"/>
              <w:rPr>
                <w:b w:val="0"/>
                <w:bCs w:val="0"/>
                <w:color w:val="000000" w:themeColor="text1"/>
              </w:rPr>
            </w:pPr>
            <w:r w:rsidRPr="00E1559B">
              <w:rPr>
                <w:b w:val="0"/>
                <w:bCs w:val="0"/>
                <w:color w:val="000000" w:themeColor="text1"/>
              </w:rPr>
              <w:t>4.614,35 cm²/g</w:t>
            </w:r>
          </w:p>
        </w:tc>
        <w:tc>
          <w:tcPr>
            <w:cnfStyle w:val="000001000000" w:firstRow="0" w:lastRow="0" w:firstColumn="0" w:lastColumn="0" w:oddVBand="0" w:evenVBand="1" w:oddHBand="0" w:evenHBand="0" w:firstRowFirstColumn="0" w:firstRowLastColumn="0" w:lastRowFirstColumn="0" w:lastRowLastColumn="0"/>
            <w:tcW w:w="1417" w:type="dxa"/>
            <w:vMerge/>
            <w:tcBorders>
              <w:top w:val="none" w:sz="0" w:space="0" w:color="auto"/>
              <w:left w:val="none" w:sz="0" w:space="0" w:color="auto"/>
              <w:right w:val="none" w:sz="0" w:space="0" w:color="auto"/>
            </w:tcBorders>
            <w:vAlign w:val="center"/>
          </w:tcPr>
          <w:p w14:paraId="058AEAAA" w14:textId="77777777" w:rsidR="00E1559B" w:rsidRPr="00E1559B" w:rsidRDefault="00E1559B" w:rsidP="00E1559B">
            <w:pPr>
              <w:jc w:val="center"/>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086" w:type="dxa"/>
            <w:vMerge/>
            <w:tcBorders>
              <w:top w:val="none" w:sz="0" w:space="0" w:color="auto"/>
              <w:left w:val="none" w:sz="0" w:space="0" w:color="auto"/>
              <w:right w:val="none" w:sz="0" w:space="0" w:color="auto"/>
            </w:tcBorders>
            <w:vAlign w:val="center"/>
          </w:tcPr>
          <w:p w14:paraId="07B3D566" w14:textId="77777777" w:rsidR="00E1559B" w:rsidRPr="00E1559B" w:rsidRDefault="00E1559B" w:rsidP="00E1559B">
            <w:pPr>
              <w:jc w:val="cente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1086" w:type="dxa"/>
            <w:vMerge/>
            <w:tcBorders>
              <w:top w:val="none" w:sz="0" w:space="0" w:color="auto"/>
              <w:left w:val="none" w:sz="0" w:space="0" w:color="auto"/>
              <w:right w:val="none" w:sz="0" w:space="0" w:color="auto"/>
            </w:tcBorders>
            <w:vAlign w:val="center"/>
          </w:tcPr>
          <w:p w14:paraId="183C25D1" w14:textId="77777777" w:rsidR="00E1559B" w:rsidRPr="00E1559B" w:rsidRDefault="00E1559B" w:rsidP="00E1559B">
            <w:pPr>
              <w:jc w:val="center"/>
              <w:rPr>
                <w:color w:val="000000" w:themeColor="text1"/>
              </w:rPr>
            </w:pPr>
          </w:p>
        </w:tc>
        <w:tc>
          <w:tcPr>
            <w:cnfStyle w:val="000100000000" w:firstRow="0" w:lastRow="0" w:firstColumn="0" w:lastColumn="1" w:oddVBand="0" w:evenVBand="0" w:oddHBand="0" w:evenHBand="0" w:firstRowFirstColumn="0" w:firstRowLastColumn="0" w:lastRowFirstColumn="0" w:lastRowLastColumn="0"/>
            <w:tcW w:w="1087" w:type="dxa"/>
            <w:vMerge/>
            <w:tcBorders>
              <w:top w:val="none" w:sz="0" w:space="0" w:color="auto"/>
            </w:tcBorders>
            <w:vAlign w:val="center"/>
          </w:tcPr>
          <w:p w14:paraId="58658053" w14:textId="2211998B" w:rsidR="00E1559B" w:rsidRPr="00E1559B" w:rsidRDefault="00E1559B" w:rsidP="00E1559B">
            <w:pPr>
              <w:jc w:val="center"/>
              <w:rPr>
                <w:color w:val="000000" w:themeColor="text1"/>
              </w:rPr>
            </w:pPr>
          </w:p>
        </w:tc>
      </w:tr>
    </w:tbl>
    <w:p w14:paraId="589177D1" w14:textId="77777777" w:rsidR="00684330" w:rsidRDefault="00684330" w:rsidP="005F73E3">
      <w:pPr>
        <w:jc w:val="both"/>
        <w:rPr>
          <w:sz w:val="22"/>
          <w:szCs w:val="22"/>
        </w:rPr>
      </w:pPr>
    </w:p>
    <w:p w14:paraId="6B4CCB15" w14:textId="4E0CB53B" w:rsidR="005F73E3" w:rsidRDefault="005F73E3" w:rsidP="005F73E3">
      <w:pPr>
        <w:jc w:val="both"/>
        <w:rPr>
          <w:sz w:val="22"/>
          <w:szCs w:val="22"/>
        </w:rPr>
      </w:pPr>
      <w:r>
        <w:rPr>
          <w:sz w:val="22"/>
          <w:szCs w:val="22"/>
        </w:rPr>
        <w:t>Figura 1</w:t>
      </w:r>
      <w:r w:rsidRPr="3E2B6792">
        <w:rPr>
          <w:sz w:val="22"/>
          <w:szCs w:val="22"/>
        </w:rPr>
        <w:t xml:space="preserve">. </w:t>
      </w:r>
      <w:r w:rsidR="005D25E1">
        <w:rPr>
          <w:sz w:val="22"/>
          <w:szCs w:val="22"/>
        </w:rPr>
        <w:t>Curvas</w:t>
      </w:r>
      <w:r>
        <w:rPr>
          <w:sz w:val="22"/>
          <w:szCs w:val="22"/>
        </w:rPr>
        <w:t xml:space="preserve"> granulométricas dos agregados miúdos e das composições utilizadas</w:t>
      </w:r>
    </w:p>
    <w:p w14:paraId="3625AF1C" w14:textId="1EC0AFF5" w:rsidR="00982E9E" w:rsidRDefault="00F15AAC" w:rsidP="00982E9E">
      <w:pPr>
        <w:spacing w:line="259" w:lineRule="auto"/>
        <w:jc w:val="both"/>
        <w:rPr>
          <w:sz w:val="22"/>
          <w:szCs w:val="22"/>
          <w:highlight w:val="yellow"/>
        </w:rPr>
      </w:pPr>
      <w:r w:rsidRPr="00F15AAC">
        <w:rPr>
          <w:noProof/>
          <w:highlight w:val="yellow"/>
        </w:rPr>
        <w:drawing>
          <wp:inline distT="0" distB="0" distL="0" distR="0" wp14:anchorId="4DE3EACA" wp14:editId="1BD66870">
            <wp:extent cx="5762622" cy="1818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2" cy="1818000"/>
                    </a:xfrm>
                    <a:prstGeom prst="rect">
                      <a:avLst/>
                    </a:prstGeom>
                    <a:noFill/>
                    <a:ln>
                      <a:noFill/>
                    </a:ln>
                  </pic:spPr>
                </pic:pic>
              </a:graphicData>
            </a:graphic>
          </wp:inline>
        </w:drawing>
      </w:r>
    </w:p>
    <w:p w14:paraId="308EDABD" w14:textId="77777777" w:rsidR="002C53B9" w:rsidRDefault="002C53B9" w:rsidP="00982E9E">
      <w:pPr>
        <w:spacing w:line="259" w:lineRule="auto"/>
        <w:jc w:val="both"/>
        <w:rPr>
          <w:sz w:val="22"/>
          <w:szCs w:val="22"/>
          <w:highlight w:val="yellow"/>
        </w:rPr>
      </w:pPr>
    </w:p>
    <w:p w14:paraId="52B2B07E" w14:textId="3F64D703" w:rsidR="003A5449" w:rsidRDefault="003A5449" w:rsidP="003A5449">
      <w:pPr>
        <w:ind w:firstLine="567"/>
        <w:jc w:val="both"/>
        <w:rPr>
          <w:sz w:val="22"/>
          <w:szCs w:val="22"/>
        </w:rPr>
      </w:pPr>
      <w:r w:rsidRPr="3E2B6792">
        <w:rPr>
          <w:sz w:val="22"/>
          <w:szCs w:val="22"/>
        </w:rPr>
        <w:t xml:space="preserve">A fim de </w:t>
      </w:r>
      <w:r>
        <w:rPr>
          <w:sz w:val="22"/>
          <w:szCs w:val="22"/>
        </w:rPr>
        <w:t>se avaliar o comportamento do concreto com pó de vidro, a relação água cimento foi a mesma para todos os concretos produzidos (0,45).  Logo, a trabalhabilidade foi alcançada por meio de uso de aditivo plastificante nos seguintes teores</w:t>
      </w:r>
      <w:r w:rsidR="00CA5819">
        <w:rPr>
          <w:sz w:val="22"/>
          <w:szCs w:val="22"/>
        </w:rPr>
        <w:t>:</w:t>
      </w:r>
      <w:r>
        <w:rPr>
          <w:sz w:val="22"/>
          <w:szCs w:val="22"/>
        </w:rPr>
        <w:t xml:space="preserve"> 0,3 % </w:t>
      </w:r>
      <w:r w:rsidRPr="3E2B6792">
        <w:rPr>
          <w:sz w:val="22"/>
          <w:szCs w:val="22"/>
        </w:rPr>
        <w:t xml:space="preserve">relação ao consumo de cimento do concreto, enquanto nos concretos com substituição, </w:t>
      </w:r>
      <w:r w:rsidR="00236D72">
        <w:rPr>
          <w:sz w:val="22"/>
          <w:szCs w:val="22"/>
        </w:rPr>
        <w:t>foi de</w:t>
      </w:r>
      <w:r w:rsidRPr="3E2B6792">
        <w:rPr>
          <w:sz w:val="22"/>
          <w:szCs w:val="22"/>
        </w:rPr>
        <w:t xml:space="preserve"> 1,2% (teor máximo permitido pelo fabricante)</w:t>
      </w:r>
      <w:r>
        <w:rPr>
          <w:sz w:val="22"/>
          <w:szCs w:val="22"/>
        </w:rPr>
        <w:t xml:space="preserve">. </w:t>
      </w:r>
    </w:p>
    <w:p w14:paraId="784136BC" w14:textId="157D62FA" w:rsidR="004425CD" w:rsidRDefault="3E2B6792" w:rsidP="001E30A9">
      <w:pPr>
        <w:ind w:firstLine="709"/>
        <w:jc w:val="both"/>
        <w:rPr>
          <w:sz w:val="22"/>
          <w:szCs w:val="22"/>
        </w:rPr>
      </w:pPr>
      <w:r w:rsidRPr="3E2B6792">
        <w:rPr>
          <w:sz w:val="22"/>
          <w:szCs w:val="22"/>
        </w:rPr>
        <w:lastRenderedPageBreak/>
        <w:t xml:space="preserve">A produção do concreto referência seguiu o processo </w:t>
      </w:r>
      <w:r w:rsidR="009E1065">
        <w:rPr>
          <w:sz w:val="22"/>
          <w:szCs w:val="22"/>
        </w:rPr>
        <w:t>usual</w:t>
      </w:r>
      <w:r w:rsidRPr="3E2B6792">
        <w:rPr>
          <w:sz w:val="22"/>
          <w:szCs w:val="22"/>
        </w:rPr>
        <w:t xml:space="preserve"> </w:t>
      </w:r>
      <w:r w:rsidR="009E1065">
        <w:rPr>
          <w:sz w:val="22"/>
          <w:szCs w:val="22"/>
        </w:rPr>
        <w:t>de</w:t>
      </w:r>
      <w:r w:rsidRPr="3E2B6792">
        <w:rPr>
          <w:sz w:val="22"/>
          <w:szCs w:val="22"/>
        </w:rPr>
        <w:t xml:space="preserve"> adição dos materiais na betoneira</w:t>
      </w:r>
      <w:r w:rsidRPr="005063BD">
        <w:rPr>
          <w:sz w:val="22"/>
          <w:szCs w:val="22"/>
        </w:rPr>
        <w:t>, ou seja, agregado graúdo, uma parte da água, cimento, agregado miúdo, restante da água e aditivo</w:t>
      </w:r>
      <w:r w:rsidR="001D196B" w:rsidRPr="005063BD">
        <w:rPr>
          <w:sz w:val="22"/>
          <w:szCs w:val="22"/>
        </w:rPr>
        <w:t xml:space="preserve">. </w:t>
      </w:r>
      <w:r w:rsidR="00D778A3">
        <w:rPr>
          <w:sz w:val="22"/>
          <w:szCs w:val="22"/>
        </w:rPr>
        <w:t>Para determinação do abatimento de tronco de cone</w:t>
      </w:r>
      <w:r w:rsidR="00824E8A">
        <w:rPr>
          <w:sz w:val="22"/>
          <w:szCs w:val="22"/>
        </w:rPr>
        <w:t xml:space="preserve">, seguiu-se o que estabelece a </w:t>
      </w:r>
      <w:r w:rsidR="00824E8A" w:rsidRPr="001B65A5">
        <w:rPr>
          <w:sz w:val="22"/>
          <w:szCs w:val="22"/>
        </w:rPr>
        <w:t xml:space="preserve">NBR </w:t>
      </w:r>
      <w:r w:rsidR="001B65A5" w:rsidRPr="001B65A5">
        <w:rPr>
          <w:sz w:val="22"/>
          <w:szCs w:val="22"/>
        </w:rPr>
        <w:t>N</w:t>
      </w:r>
      <w:r w:rsidR="001B65A5">
        <w:rPr>
          <w:sz w:val="22"/>
          <w:szCs w:val="22"/>
        </w:rPr>
        <w:t>M 67 (1998)</w:t>
      </w:r>
      <w:r w:rsidR="00824E8A">
        <w:rPr>
          <w:sz w:val="22"/>
          <w:szCs w:val="22"/>
        </w:rPr>
        <w:t xml:space="preserve"> e para o ensaio de massa específica no estado fresco, o preconiza a </w:t>
      </w:r>
      <w:r w:rsidR="00824E8A" w:rsidRPr="009103A9">
        <w:rPr>
          <w:sz w:val="22"/>
          <w:szCs w:val="22"/>
        </w:rPr>
        <w:t>NBR 9833:2008.</w:t>
      </w:r>
      <w:r w:rsidR="007B4AD7">
        <w:rPr>
          <w:sz w:val="22"/>
          <w:szCs w:val="22"/>
        </w:rPr>
        <w:t xml:space="preserve"> </w:t>
      </w:r>
    </w:p>
    <w:p w14:paraId="1DF57724" w14:textId="52CFBD53" w:rsidR="001E30A9" w:rsidRPr="001E30A9" w:rsidRDefault="007B4AD7" w:rsidP="001E30A9">
      <w:pPr>
        <w:ind w:firstLine="709"/>
        <w:jc w:val="both"/>
        <w:rPr>
          <w:sz w:val="22"/>
          <w:szCs w:val="22"/>
        </w:rPr>
      </w:pPr>
      <w:r>
        <w:rPr>
          <w:sz w:val="22"/>
          <w:szCs w:val="22"/>
        </w:rPr>
        <w:t>Para o concreto no estado endurecido, foram seguidas as</w:t>
      </w:r>
      <w:r w:rsidR="3E2B6792" w:rsidRPr="3E2B6792">
        <w:rPr>
          <w:sz w:val="22"/>
          <w:szCs w:val="22"/>
        </w:rPr>
        <w:t xml:space="preserve"> diretrizes da NBR 5738:2016, no que tange ao processo de desforma e cura dos corpos-de prova, ou seja, 24h nos moldes</w:t>
      </w:r>
      <w:r w:rsidR="005B6E17">
        <w:rPr>
          <w:sz w:val="22"/>
          <w:szCs w:val="22"/>
        </w:rPr>
        <w:t xml:space="preserve">, </w:t>
      </w:r>
      <w:r w:rsidR="3E2B6792" w:rsidRPr="3E2B6792">
        <w:rPr>
          <w:sz w:val="22"/>
          <w:szCs w:val="22"/>
        </w:rPr>
        <w:t>desforma e cura imersa até à idade de ensaio (28 dias).</w:t>
      </w:r>
      <w:r w:rsidR="00F3528D">
        <w:rPr>
          <w:sz w:val="22"/>
          <w:szCs w:val="22"/>
        </w:rPr>
        <w:t xml:space="preserve"> </w:t>
      </w:r>
      <w:r w:rsidR="0034363D" w:rsidRPr="009103A9">
        <w:rPr>
          <w:sz w:val="22"/>
          <w:szCs w:val="22"/>
        </w:rPr>
        <w:t>Para</w:t>
      </w:r>
      <w:r w:rsidR="0034363D" w:rsidRPr="0034363D">
        <w:rPr>
          <w:sz w:val="22"/>
          <w:szCs w:val="22"/>
        </w:rPr>
        <w:t xml:space="preserve"> a realização do ensaio de </w:t>
      </w:r>
      <w:r w:rsidR="00A76194">
        <w:rPr>
          <w:sz w:val="22"/>
          <w:szCs w:val="22"/>
        </w:rPr>
        <w:t xml:space="preserve">resistência à </w:t>
      </w:r>
      <w:r w:rsidR="0034363D" w:rsidRPr="0034363D">
        <w:rPr>
          <w:sz w:val="22"/>
          <w:szCs w:val="22"/>
        </w:rPr>
        <w:t>compressão axial, os corpos de prova foram retirados da cura submersa</w:t>
      </w:r>
      <w:r w:rsidR="005B6E17">
        <w:rPr>
          <w:sz w:val="22"/>
          <w:szCs w:val="22"/>
        </w:rPr>
        <w:t xml:space="preserve"> 1h antes do ensaio, sendo</w:t>
      </w:r>
      <w:r w:rsidR="0034363D" w:rsidRPr="0034363D">
        <w:rPr>
          <w:sz w:val="22"/>
          <w:szCs w:val="22"/>
        </w:rPr>
        <w:t xml:space="preserve"> realizada a retificação da</w:t>
      </w:r>
      <w:r w:rsidR="001D196B">
        <w:rPr>
          <w:sz w:val="22"/>
          <w:szCs w:val="22"/>
        </w:rPr>
        <w:t>s</w:t>
      </w:r>
      <w:r w:rsidR="0034363D" w:rsidRPr="0034363D">
        <w:rPr>
          <w:sz w:val="22"/>
          <w:szCs w:val="22"/>
        </w:rPr>
        <w:t xml:space="preserve"> superfície</w:t>
      </w:r>
      <w:r w:rsidR="001D196B">
        <w:rPr>
          <w:sz w:val="22"/>
          <w:szCs w:val="22"/>
        </w:rPr>
        <w:t xml:space="preserve">s, seguindo </w:t>
      </w:r>
      <w:r w:rsidR="001D196B" w:rsidRPr="0034363D">
        <w:rPr>
          <w:sz w:val="22"/>
          <w:szCs w:val="22"/>
        </w:rPr>
        <w:t xml:space="preserve">os procedimentos estabelecidos pela NBR 5739:2018. </w:t>
      </w:r>
      <w:r w:rsidR="009E1065">
        <w:rPr>
          <w:sz w:val="22"/>
          <w:szCs w:val="22"/>
        </w:rPr>
        <w:t xml:space="preserve"> </w:t>
      </w:r>
      <w:r w:rsidR="001E30A9" w:rsidRPr="001E30A9">
        <w:rPr>
          <w:sz w:val="22"/>
          <w:szCs w:val="22"/>
        </w:rPr>
        <w:t xml:space="preserve">Para a determinação do módulo de elasticidade dos concretos produzidos, utilizou-se </w:t>
      </w:r>
      <w:r w:rsidR="00C357B9">
        <w:rPr>
          <w:sz w:val="22"/>
          <w:szCs w:val="22"/>
        </w:rPr>
        <w:t>d</w:t>
      </w:r>
      <w:r w:rsidR="001E30A9" w:rsidRPr="001E30A9">
        <w:rPr>
          <w:sz w:val="22"/>
          <w:szCs w:val="22"/>
        </w:rPr>
        <w:t xml:space="preserve">a NBR 8522:2021.  </w:t>
      </w:r>
      <w:r w:rsidR="00E10A49">
        <w:rPr>
          <w:sz w:val="22"/>
          <w:szCs w:val="22"/>
        </w:rPr>
        <w:t>Para a</w:t>
      </w:r>
      <w:r w:rsidR="001E30A9" w:rsidRPr="001E30A9">
        <w:rPr>
          <w:sz w:val="22"/>
          <w:szCs w:val="22"/>
        </w:rPr>
        <w:t xml:space="preserve"> execução </w:t>
      </w:r>
      <w:r w:rsidR="004A0B03">
        <w:rPr>
          <w:sz w:val="22"/>
          <w:szCs w:val="22"/>
        </w:rPr>
        <w:t>dos ensaios</w:t>
      </w:r>
      <w:r w:rsidR="001E30A9" w:rsidRPr="001E30A9">
        <w:rPr>
          <w:sz w:val="22"/>
          <w:szCs w:val="22"/>
        </w:rPr>
        <w:t xml:space="preserve">, os </w:t>
      </w:r>
      <w:r w:rsidR="001E30A9">
        <w:rPr>
          <w:sz w:val="22"/>
          <w:szCs w:val="22"/>
        </w:rPr>
        <w:t>corpos de prova</w:t>
      </w:r>
      <w:r w:rsidR="001E30A9" w:rsidRPr="001E30A9">
        <w:rPr>
          <w:sz w:val="22"/>
          <w:szCs w:val="22"/>
        </w:rPr>
        <w:t xml:space="preserve">, com idade de 28 dias, </w:t>
      </w:r>
      <w:r w:rsidR="00070E96">
        <w:rPr>
          <w:sz w:val="22"/>
          <w:szCs w:val="22"/>
        </w:rPr>
        <w:t xml:space="preserve">eram retirados da água </w:t>
      </w:r>
      <w:r w:rsidR="004A0B03">
        <w:rPr>
          <w:sz w:val="22"/>
          <w:szCs w:val="22"/>
        </w:rPr>
        <w:t xml:space="preserve">1h antes dos procedimentos e tinham </w:t>
      </w:r>
      <w:r w:rsidR="001E30A9" w:rsidRPr="001E30A9">
        <w:rPr>
          <w:sz w:val="22"/>
          <w:szCs w:val="22"/>
        </w:rPr>
        <w:t>suas superfícies regularizadas por meio de retífica, a fim de se garantir um acabamento plano, livre de rugosidade e paralelismo entre as faces</w:t>
      </w:r>
      <w:r w:rsidR="00A76194">
        <w:rPr>
          <w:sz w:val="22"/>
          <w:szCs w:val="22"/>
        </w:rPr>
        <w:t xml:space="preserve"> (NBR 5739:2018).</w:t>
      </w:r>
      <w:r w:rsidR="001E30A9" w:rsidRPr="001E30A9">
        <w:rPr>
          <w:sz w:val="22"/>
          <w:szCs w:val="22"/>
        </w:rPr>
        <w:t xml:space="preserve"> </w:t>
      </w:r>
    </w:p>
    <w:p w14:paraId="6CE87352" w14:textId="77777777" w:rsidR="00673440" w:rsidRPr="00437A35" w:rsidRDefault="00673440" w:rsidP="00673440">
      <w:pPr>
        <w:tabs>
          <w:tab w:val="left" w:pos="0"/>
        </w:tabs>
        <w:autoSpaceDE w:val="0"/>
        <w:autoSpaceDN w:val="0"/>
        <w:adjustRightInd w:val="0"/>
        <w:jc w:val="both"/>
        <w:rPr>
          <w:sz w:val="22"/>
          <w:szCs w:val="22"/>
        </w:rPr>
      </w:pPr>
    </w:p>
    <w:p w14:paraId="2C9D096D"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6265D171" w14:textId="0A3AA6E1" w:rsidR="00236D72" w:rsidRPr="00165F2A" w:rsidRDefault="00236D72" w:rsidP="00236D72">
      <w:pPr>
        <w:spacing w:line="259" w:lineRule="auto"/>
        <w:ind w:firstLine="709"/>
        <w:jc w:val="both"/>
        <w:rPr>
          <w:sz w:val="22"/>
          <w:szCs w:val="22"/>
          <w:lang w:val="pt-PT"/>
        </w:rPr>
      </w:pPr>
      <w:r>
        <w:rPr>
          <w:sz w:val="22"/>
          <w:szCs w:val="22"/>
          <w:lang w:val="pt-PT"/>
        </w:rPr>
        <w:t>Foi possível observar (Figura 1) que</w:t>
      </w:r>
      <w:r w:rsidRPr="3E2B6792">
        <w:rPr>
          <w:sz w:val="22"/>
          <w:szCs w:val="22"/>
        </w:rPr>
        <w:t xml:space="preserve"> o pó de vidro é, dentre os três agregados miúdos, o que mais se aproxima de uma distribuição granulométrica dentro da zona ótima da NBR 7211:</w:t>
      </w:r>
      <w:r>
        <w:rPr>
          <w:sz w:val="22"/>
          <w:szCs w:val="22"/>
        </w:rPr>
        <w:t xml:space="preserve">2022. </w:t>
      </w:r>
      <w:r w:rsidRPr="3E2B6792">
        <w:rPr>
          <w:sz w:val="22"/>
          <w:szCs w:val="22"/>
          <w:lang w:val="pt-PT"/>
        </w:rPr>
        <w:t>Ainda</w:t>
      </w:r>
      <w:r>
        <w:rPr>
          <w:sz w:val="22"/>
          <w:szCs w:val="22"/>
          <w:lang w:val="pt-PT"/>
        </w:rPr>
        <w:t>,</w:t>
      </w:r>
      <w:r w:rsidRPr="3E2B6792">
        <w:rPr>
          <w:sz w:val="22"/>
          <w:szCs w:val="22"/>
          <w:lang w:val="pt-PT"/>
        </w:rPr>
        <w:t xml:space="preserve"> que a curva granulométrica correspondente à composição das areias praticad</w:t>
      </w:r>
      <w:r w:rsidR="00CA5819">
        <w:rPr>
          <w:sz w:val="22"/>
          <w:szCs w:val="22"/>
          <w:lang w:val="pt-PT"/>
        </w:rPr>
        <w:t>a</w:t>
      </w:r>
      <w:r>
        <w:rPr>
          <w:sz w:val="22"/>
          <w:szCs w:val="22"/>
          <w:lang w:val="pt-PT"/>
        </w:rPr>
        <w:t xml:space="preserve"> no traço referência</w:t>
      </w:r>
      <w:r w:rsidRPr="3E2B6792">
        <w:rPr>
          <w:sz w:val="22"/>
          <w:szCs w:val="22"/>
          <w:lang w:val="pt-PT"/>
        </w:rPr>
        <w:t xml:space="preserve">, com 30,14% de areia natural e 69,86% de areia britada, </w:t>
      </w:r>
      <w:r>
        <w:rPr>
          <w:sz w:val="22"/>
          <w:szCs w:val="22"/>
          <w:lang w:val="pt-PT"/>
        </w:rPr>
        <w:t>atende ao enquadramento de</w:t>
      </w:r>
      <w:r w:rsidRPr="3E2B6792">
        <w:rPr>
          <w:sz w:val="22"/>
          <w:szCs w:val="22"/>
          <w:lang w:val="pt-PT"/>
        </w:rPr>
        <w:t xml:space="preserve"> zona utilizável e as curvas correspondentes </w:t>
      </w:r>
      <w:r>
        <w:rPr>
          <w:sz w:val="22"/>
          <w:szCs w:val="22"/>
          <w:lang w:val="pt-PT"/>
        </w:rPr>
        <w:t>à</w:t>
      </w:r>
      <w:r w:rsidRPr="3E2B6792">
        <w:rPr>
          <w:sz w:val="22"/>
          <w:szCs w:val="22"/>
          <w:lang w:val="pt-PT"/>
        </w:rPr>
        <w:t xml:space="preserve">s composições das areias com o pó de vidro </w:t>
      </w:r>
      <w:r>
        <w:rPr>
          <w:sz w:val="22"/>
          <w:szCs w:val="22"/>
          <w:lang w:val="pt-PT"/>
        </w:rPr>
        <w:t>também.</w:t>
      </w:r>
    </w:p>
    <w:p w14:paraId="57D039F5" w14:textId="1B8DC9D3" w:rsidR="00236D72" w:rsidRDefault="15B9E4BA" w:rsidP="00E84EFD">
      <w:pPr>
        <w:ind w:firstLine="567"/>
        <w:jc w:val="both"/>
        <w:rPr>
          <w:sz w:val="22"/>
          <w:szCs w:val="22"/>
        </w:rPr>
      </w:pPr>
      <w:r w:rsidRPr="15B9E4BA">
        <w:rPr>
          <w:sz w:val="22"/>
          <w:szCs w:val="22"/>
        </w:rPr>
        <w:t xml:space="preserve">O emprego de pó de vidro interferiu na trabalhabilidade do concreto </w:t>
      </w:r>
      <w:r w:rsidR="00740BEE">
        <w:rPr>
          <w:sz w:val="22"/>
          <w:szCs w:val="22"/>
        </w:rPr>
        <w:t xml:space="preserve">logo </w:t>
      </w:r>
      <w:r w:rsidRPr="15B9E4BA">
        <w:rPr>
          <w:sz w:val="22"/>
          <w:szCs w:val="22"/>
        </w:rPr>
        <w:t>quando adicionado à betoneira. Na primeira produção, seguindo a ordem de mistura já descrita anteriormente, o concreto ficou extremamente seco e segregado, mesmo com emprego do teor máximo de aditivo recomendado pelo fabricante. Devido a isso, na segunda produção a ordem foi alterada e o pó de vidro foi o último material adicionado.</w:t>
      </w:r>
    </w:p>
    <w:p w14:paraId="254CB4F5" w14:textId="1F4B047A" w:rsidR="00684330" w:rsidRDefault="3E2B6792" w:rsidP="00E84EFD">
      <w:pPr>
        <w:ind w:firstLine="567"/>
        <w:jc w:val="both"/>
        <w:rPr>
          <w:sz w:val="22"/>
          <w:szCs w:val="22"/>
        </w:rPr>
      </w:pPr>
      <w:r w:rsidRPr="3E2B6792">
        <w:rPr>
          <w:sz w:val="22"/>
          <w:szCs w:val="22"/>
        </w:rPr>
        <w:t xml:space="preserve">A Tabela </w:t>
      </w:r>
      <w:r w:rsidR="00F506B1">
        <w:rPr>
          <w:sz w:val="22"/>
          <w:szCs w:val="22"/>
        </w:rPr>
        <w:t>1</w:t>
      </w:r>
      <w:r w:rsidRPr="3E2B6792">
        <w:rPr>
          <w:sz w:val="22"/>
          <w:szCs w:val="22"/>
        </w:rPr>
        <w:t xml:space="preserve"> apresenta os valores referentes ao consumo de aditivo e </w:t>
      </w:r>
      <w:r w:rsidR="00E15666" w:rsidRPr="00E15666">
        <w:rPr>
          <w:sz w:val="22"/>
          <w:szCs w:val="22"/>
        </w:rPr>
        <w:t>abatimento de tronco de cone</w:t>
      </w:r>
      <w:r w:rsidR="00E15666">
        <w:rPr>
          <w:i/>
          <w:iCs/>
          <w:sz w:val="22"/>
          <w:szCs w:val="22"/>
        </w:rPr>
        <w:t xml:space="preserve"> </w:t>
      </w:r>
      <w:r w:rsidR="00E15666" w:rsidRPr="00E15666">
        <w:rPr>
          <w:sz w:val="22"/>
          <w:szCs w:val="22"/>
        </w:rPr>
        <w:t>(</w:t>
      </w:r>
      <w:proofErr w:type="spellStart"/>
      <w:r w:rsidR="00E15666">
        <w:rPr>
          <w:i/>
          <w:iCs/>
          <w:sz w:val="22"/>
          <w:szCs w:val="22"/>
        </w:rPr>
        <w:t>slump</w:t>
      </w:r>
      <w:proofErr w:type="spellEnd"/>
      <w:r w:rsidR="00E15666">
        <w:rPr>
          <w:i/>
          <w:iCs/>
          <w:sz w:val="22"/>
          <w:szCs w:val="22"/>
        </w:rPr>
        <w:t xml:space="preserve"> </w:t>
      </w:r>
      <w:proofErr w:type="spellStart"/>
      <w:r w:rsidR="00E15666">
        <w:rPr>
          <w:i/>
          <w:iCs/>
          <w:sz w:val="22"/>
          <w:szCs w:val="22"/>
        </w:rPr>
        <w:t>te</w:t>
      </w:r>
      <w:r w:rsidRPr="3E2B6792">
        <w:rPr>
          <w:i/>
          <w:iCs/>
          <w:sz w:val="22"/>
          <w:szCs w:val="22"/>
        </w:rPr>
        <w:t>st</w:t>
      </w:r>
      <w:proofErr w:type="spellEnd"/>
      <w:r w:rsidR="00E15666">
        <w:rPr>
          <w:sz w:val="22"/>
          <w:szCs w:val="22"/>
        </w:rPr>
        <w:t xml:space="preserve">) </w:t>
      </w:r>
      <w:r w:rsidRPr="3E2B6792">
        <w:rPr>
          <w:sz w:val="22"/>
          <w:szCs w:val="22"/>
        </w:rPr>
        <w:t>de cada concreto</w:t>
      </w:r>
      <w:r w:rsidR="00E15666">
        <w:rPr>
          <w:sz w:val="22"/>
          <w:szCs w:val="22"/>
        </w:rPr>
        <w:t xml:space="preserve"> produzido</w:t>
      </w:r>
      <w:r w:rsidRPr="3E2B6792">
        <w:rPr>
          <w:sz w:val="22"/>
          <w:szCs w:val="22"/>
        </w:rPr>
        <w:t>.</w:t>
      </w:r>
    </w:p>
    <w:p w14:paraId="04D894EB" w14:textId="77777777" w:rsidR="00E84EFD" w:rsidRDefault="00E84EFD" w:rsidP="00E84EFD">
      <w:pPr>
        <w:ind w:firstLine="567"/>
        <w:jc w:val="both"/>
        <w:rPr>
          <w:sz w:val="22"/>
          <w:szCs w:val="22"/>
        </w:rPr>
      </w:pPr>
    </w:p>
    <w:p w14:paraId="04FEC4DD" w14:textId="4253763E" w:rsidR="3E2B6792" w:rsidRDefault="3E2B6792" w:rsidP="3E2B6792">
      <w:pPr>
        <w:jc w:val="both"/>
        <w:rPr>
          <w:sz w:val="22"/>
          <w:szCs w:val="22"/>
        </w:rPr>
      </w:pPr>
      <w:r w:rsidRPr="3E2B6792">
        <w:rPr>
          <w:sz w:val="22"/>
          <w:szCs w:val="22"/>
        </w:rPr>
        <w:t xml:space="preserve">Tabela </w:t>
      </w:r>
      <w:r w:rsidR="00F506B1">
        <w:rPr>
          <w:sz w:val="22"/>
          <w:szCs w:val="22"/>
        </w:rPr>
        <w:t>1.</w:t>
      </w:r>
      <w:r w:rsidRPr="3E2B6792">
        <w:rPr>
          <w:sz w:val="22"/>
          <w:szCs w:val="22"/>
        </w:rPr>
        <w:t xml:space="preserve"> Consumo de aditivo e </w:t>
      </w:r>
      <w:proofErr w:type="spellStart"/>
      <w:r w:rsidRPr="3E2B6792">
        <w:rPr>
          <w:i/>
          <w:iCs/>
          <w:sz w:val="22"/>
          <w:szCs w:val="22"/>
        </w:rPr>
        <w:t>slump</w:t>
      </w:r>
      <w:proofErr w:type="spellEnd"/>
      <w:r w:rsidRPr="3E2B6792">
        <w:rPr>
          <w:i/>
          <w:iCs/>
          <w:sz w:val="22"/>
          <w:szCs w:val="22"/>
        </w:rPr>
        <w:t xml:space="preserve"> </w:t>
      </w:r>
      <w:proofErr w:type="spellStart"/>
      <w:r w:rsidRPr="3E2B6792">
        <w:rPr>
          <w:i/>
          <w:iCs/>
          <w:sz w:val="22"/>
          <w:szCs w:val="22"/>
        </w:rPr>
        <w:t>test</w:t>
      </w:r>
      <w:proofErr w:type="spellEnd"/>
      <w:r w:rsidRPr="3E2B6792">
        <w:rPr>
          <w:i/>
          <w:iCs/>
          <w:sz w:val="22"/>
          <w:szCs w:val="22"/>
        </w:rPr>
        <w:t xml:space="preserve"> </w:t>
      </w:r>
      <w:r w:rsidRPr="3E2B6792">
        <w:rPr>
          <w:sz w:val="22"/>
          <w:szCs w:val="22"/>
        </w:rPr>
        <w:t>dos concretos</w:t>
      </w:r>
    </w:p>
    <w:tbl>
      <w:tblPr>
        <w:tblW w:w="0" w:type="auto"/>
        <w:tblInd w:w="108" w:type="dxa"/>
        <w:tblBorders>
          <w:top w:val="single" w:sz="4" w:space="0" w:color="7F7F7F" w:themeColor="text1" w:themeTint="80"/>
          <w:bottom w:val="single" w:sz="4" w:space="0" w:color="7F7F7F" w:themeColor="text1" w:themeTint="80"/>
        </w:tblBorders>
        <w:tblLook w:val="04A0" w:firstRow="1" w:lastRow="0" w:firstColumn="1" w:lastColumn="0" w:noHBand="0" w:noVBand="1"/>
      </w:tblPr>
      <w:tblGrid>
        <w:gridCol w:w="4145"/>
        <w:gridCol w:w="3544"/>
        <w:gridCol w:w="1266"/>
      </w:tblGrid>
      <w:tr w:rsidR="3E2B6792" w14:paraId="34C8EB28" w14:textId="77777777" w:rsidTr="00F506B1">
        <w:trPr>
          <w:trHeight w:val="300"/>
        </w:trPr>
        <w:tc>
          <w:tcPr>
            <w:tcW w:w="4145" w:type="dxa"/>
            <w:tcBorders>
              <w:bottom w:val="single" w:sz="4" w:space="0" w:color="7F7F7F" w:themeColor="text1" w:themeTint="80"/>
            </w:tcBorders>
            <w:shd w:val="clear" w:color="auto" w:fill="auto"/>
            <w:vAlign w:val="center"/>
          </w:tcPr>
          <w:p w14:paraId="547CABA4" w14:textId="77777777" w:rsidR="3E2B6792" w:rsidRDefault="3E2B6792" w:rsidP="3E2B6792">
            <w:pPr>
              <w:jc w:val="center"/>
              <w:rPr>
                <w:b/>
                <w:bCs/>
                <w:sz w:val="22"/>
                <w:szCs w:val="22"/>
              </w:rPr>
            </w:pPr>
            <w:r w:rsidRPr="3E2B6792">
              <w:rPr>
                <w:b/>
                <w:bCs/>
                <w:sz w:val="22"/>
                <w:szCs w:val="22"/>
              </w:rPr>
              <w:t>Concreto</w:t>
            </w:r>
          </w:p>
        </w:tc>
        <w:tc>
          <w:tcPr>
            <w:tcW w:w="3544" w:type="dxa"/>
            <w:tcBorders>
              <w:bottom w:val="single" w:sz="4" w:space="0" w:color="7F7F7F" w:themeColor="text1" w:themeTint="80"/>
            </w:tcBorders>
            <w:shd w:val="clear" w:color="auto" w:fill="auto"/>
            <w:vAlign w:val="center"/>
          </w:tcPr>
          <w:p w14:paraId="5DDE9F2A" w14:textId="61AC2607" w:rsidR="3E2B6792" w:rsidRDefault="3E2B6792" w:rsidP="3E2B6792">
            <w:pPr>
              <w:spacing w:line="259" w:lineRule="auto"/>
              <w:jc w:val="center"/>
            </w:pPr>
            <w:r w:rsidRPr="3E2B6792">
              <w:rPr>
                <w:b/>
                <w:bCs/>
                <w:sz w:val="22"/>
                <w:szCs w:val="22"/>
              </w:rPr>
              <w:t>Consumo de aditivo em relação ao consumo de cimento (%)</w:t>
            </w:r>
          </w:p>
        </w:tc>
        <w:tc>
          <w:tcPr>
            <w:tcW w:w="1266" w:type="dxa"/>
            <w:tcBorders>
              <w:bottom w:val="single" w:sz="4" w:space="0" w:color="7F7F7F" w:themeColor="text1" w:themeTint="80"/>
            </w:tcBorders>
            <w:shd w:val="clear" w:color="auto" w:fill="auto"/>
            <w:vAlign w:val="center"/>
          </w:tcPr>
          <w:p w14:paraId="21F23489" w14:textId="1B994611" w:rsidR="3E2B6792" w:rsidRDefault="3E2B6792" w:rsidP="3E2B6792">
            <w:pPr>
              <w:spacing w:line="259" w:lineRule="auto"/>
              <w:jc w:val="center"/>
            </w:pPr>
            <w:proofErr w:type="spellStart"/>
            <w:r w:rsidRPr="3E2B6792">
              <w:rPr>
                <w:b/>
                <w:bCs/>
                <w:i/>
                <w:iCs/>
                <w:sz w:val="22"/>
                <w:szCs w:val="22"/>
              </w:rPr>
              <w:t>Slump</w:t>
            </w:r>
            <w:proofErr w:type="spellEnd"/>
            <w:r w:rsidRPr="3E2B6792">
              <w:rPr>
                <w:b/>
                <w:bCs/>
                <w:i/>
                <w:iCs/>
                <w:sz w:val="22"/>
                <w:szCs w:val="22"/>
              </w:rPr>
              <w:t xml:space="preserve"> </w:t>
            </w:r>
            <w:proofErr w:type="spellStart"/>
            <w:r w:rsidRPr="3E2B6792">
              <w:rPr>
                <w:b/>
                <w:bCs/>
                <w:i/>
                <w:iCs/>
                <w:sz w:val="22"/>
                <w:szCs w:val="22"/>
              </w:rPr>
              <w:t>test</w:t>
            </w:r>
            <w:proofErr w:type="spellEnd"/>
            <w:r w:rsidRPr="3E2B6792">
              <w:rPr>
                <w:b/>
                <w:bCs/>
                <w:i/>
                <w:iCs/>
                <w:sz w:val="22"/>
                <w:szCs w:val="22"/>
              </w:rPr>
              <w:t xml:space="preserve"> </w:t>
            </w:r>
            <w:r w:rsidRPr="3E2B6792">
              <w:rPr>
                <w:b/>
                <w:bCs/>
                <w:sz w:val="22"/>
                <w:szCs w:val="22"/>
              </w:rPr>
              <w:t>(cm)</w:t>
            </w:r>
          </w:p>
        </w:tc>
      </w:tr>
      <w:tr w:rsidR="3E2B6792" w14:paraId="20F8FF30" w14:textId="77777777" w:rsidTr="00F506B1">
        <w:trPr>
          <w:trHeight w:val="300"/>
        </w:trPr>
        <w:tc>
          <w:tcPr>
            <w:tcW w:w="4145" w:type="dxa"/>
            <w:tcBorders>
              <w:top w:val="single" w:sz="4" w:space="0" w:color="7F7F7F" w:themeColor="text1" w:themeTint="80"/>
              <w:bottom w:val="single" w:sz="4" w:space="0" w:color="7F7F7F" w:themeColor="text1" w:themeTint="80"/>
            </w:tcBorders>
            <w:shd w:val="clear" w:color="auto" w:fill="auto"/>
            <w:vAlign w:val="center"/>
          </w:tcPr>
          <w:p w14:paraId="65A3E188" w14:textId="77777777" w:rsidR="3E2B6792" w:rsidRDefault="3E2B6792" w:rsidP="3E2B6792">
            <w:pPr>
              <w:jc w:val="center"/>
              <w:rPr>
                <w:b/>
                <w:bCs/>
              </w:rPr>
            </w:pPr>
            <w:r w:rsidRPr="3E2B6792">
              <w:rPr>
                <w:b/>
                <w:bCs/>
              </w:rPr>
              <w:t>Referência</w:t>
            </w:r>
          </w:p>
        </w:tc>
        <w:tc>
          <w:tcPr>
            <w:tcW w:w="3544" w:type="dxa"/>
            <w:tcBorders>
              <w:top w:val="single" w:sz="4" w:space="0" w:color="7F7F7F" w:themeColor="text1" w:themeTint="80"/>
              <w:bottom w:val="single" w:sz="4" w:space="0" w:color="7F7F7F" w:themeColor="text1" w:themeTint="80"/>
            </w:tcBorders>
            <w:shd w:val="clear" w:color="auto" w:fill="auto"/>
            <w:vAlign w:val="center"/>
          </w:tcPr>
          <w:p w14:paraId="4CF80E2B" w14:textId="779A2508" w:rsidR="3E2B6792" w:rsidRDefault="3E2B6792" w:rsidP="3E2B6792">
            <w:pPr>
              <w:jc w:val="center"/>
            </w:pPr>
            <w:r>
              <w:t>0,3</w:t>
            </w:r>
          </w:p>
        </w:tc>
        <w:tc>
          <w:tcPr>
            <w:tcW w:w="1266" w:type="dxa"/>
            <w:tcBorders>
              <w:top w:val="single" w:sz="4" w:space="0" w:color="7F7F7F" w:themeColor="text1" w:themeTint="80"/>
              <w:bottom w:val="single" w:sz="4" w:space="0" w:color="7F7F7F" w:themeColor="text1" w:themeTint="80"/>
            </w:tcBorders>
            <w:shd w:val="clear" w:color="auto" w:fill="auto"/>
            <w:vAlign w:val="center"/>
          </w:tcPr>
          <w:p w14:paraId="1E7983A6" w14:textId="7311D662" w:rsidR="3E2B6792" w:rsidRDefault="3E2B6792" w:rsidP="3E2B6792">
            <w:pPr>
              <w:jc w:val="center"/>
            </w:pPr>
            <w:r>
              <w:t>13,6</w:t>
            </w:r>
          </w:p>
        </w:tc>
      </w:tr>
      <w:tr w:rsidR="3E2B6792" w14:paraId="3FCE06F9" w14:textId="77777777" w:rsidTr="00F506B1">
        <w:trPr>
          <w:trHeight w:val="300"/>
        </w:trPr>
        <w:tc>
          <w:tcPr>
            <w:tcW w:w="4145" w:type="dxa"/>
            <w:shd w:val="clear" w:color="auto" w:fill="auto"/>
            <w:vAlign w:val="center"/>
          </w:tcPr>
          <w:p w14:paraId="21D9300A" w14:textId="77777777" w:rsidR="3E2B6792" w:rsidRDefault="3E2B6792" w:rsidP="3E2B6792">
            <w:pPr>
              <w:jc w:val="center"/>
              <w:rPr>
                <w:b/>
                <w:bCs/>
              </w:rPr>
            </w:pPr>
            <w:r w:rsidRPr="3E2B6792">
              <w:rPr>
                <w:b/>
                <w:bCs/>
              </w:rPr>
              <w:t>Teor de 50% de substituição por pó de vidro</w:t>
            </w:r>
          </w:p>
        </w:tc>
        <w:tc>
          <w:tcPr>
            <w:tcW w:w="3544" w:type="dxa"/>
            <w:shd w:val="clear" w:color="auto" w:fill="auto"/>
            <w:vAlign w:val="center"/>
          </w:tcPr>
          <w:p w14:paraId="041500F1" w14:textId="3D923711" w:rsidR="3E2B6792" w:rsidRDefault="3E2B6792" w:rsidP="3E2B6792">
            <w:pPr>
              <w:jc w:val="center"/>
            </w:pPr>
            <w:r>
              <w:t>1,2</w:t>
            </w:r>
          </w:p>
        </w:tc>
        <w:tc>
          <w:tcPr>
            <w:tcW w:w="1266" w:type="dxa"/>
            <w:shd w:val="clear" w:color="auto" w:fill="auto"/>
            <w:vAlign w:val="center"/>
          </w:tcPr>
          <w:p w14:paraId="5BB44A7E" w14:textId="32455A29" w:rsidR="3E2B6792" w:rsidRDefault="3E2B6792" w:rsidP="3E2B6792">
            <w:pPr>
              <w:jc w:val="center"/>
            </w:pPr>
            <w:r>
              <w:t>19,0</w:t>
            </w:r>
          </w:p>
        </w:tc>
      </w:tr>
      <w:tr w:rsidR="3E2B6792" w14:paraId="539468C3" w14:textId="77777777" w:rsidTr="00F506B1">
        <w:trPr>
          <w:trHeight w:val="300"/>
        </w:trPr>
        <w:tc>
          <w:tcPr>
            <w:tcW w:w="4145" w:type="dxa"/>
            <w:tcBorders>
              <w:top w:val="single" w:sz="4" w:space="0" w:color="7F7F7F" w:themeColor="text1" w:themeTint="80"/>
              <w:bottom w:val="single" w:sz="4" w:space="0" w:color="7F7F7F" w:themeColor="text1" w:themeTint="80"/>
            </w:tcBorders>
            <w:shd w:val="clear" w:color="auto" w:fill="auto"/>
            <w:vAlign w:val="center"/>
          </w:tcPr>
          <w:p w14:paraId="432ED48E" w14:textId="77777777" w:rsidR="3E2B6792" w:rsidRDefault="3E2B6792" w:rsidP="3E2B6792">
            <w:pPr>
              <w:jc w:val="center"/>
              <w:rPr>
                <w:b/>
                <w:bCs/>
              </w:rPr>
            </w:pPr>
            <w:r w:rsidRPr="3E2B6792">
              <w:rPr>
                <w:b/>
                <w:bCs/>
              </w:rPr>
              <w:t>Teor de 100% de substituição por pó de vidro</w:t>
            </w:r>
          </w:p>
        </w:tc>
        <w:tc>
          <w:tcPr>
            <w:tcW w:w="3544" w:type="dxa"/>
            <w:tcBorders>
              <w:top w:val="single" w:sz="4" w:space="0" w:color="7F7F7F" w:themeColor="text1" w:themeTint="80"/>
              <w:bottom w:val="single" w:sz="4" w:space="0" w:color="7F7F7F" w:themeColor="text1" w:themeTint="80"/>
            </w:tcBorders>
            <w:shd w:val="clear" w:color="auto" w:fill="auto"/>
            <w:vAlign w:val="center"/>
          </w:tcPr>
          <w:p w14:paraId="173E821A" w14:textId="327FCCE7" w:rsidR="3E2B6792" w:rsidRDefault="3E2B6792" w:rsidP="3E2B6792">
            <w:pPr>
              <w:jc w:val="center"/>
            </w:pPr>
            <w:r>
              <w:t>1,2</w:t>
            </w:r>
          </w:p>
        </w:tc>
        <w:tc>
          <w:tcPr>
            <w:tcW w:w="1266" w:type="dxa"/>
            <w:tcBorders>
              <w:top w:val="single" w:sz="4" w:space="0" w:color="7F7F7F" w:themeColor="text1" w:themeTint="80"/>
              <w:bottom w:val="single" w:sz="4" w:space="0" w:color="7F7F7F" w:themeColor="text1" w:themeTint="80"/>
            </w:tcBorders>
            <w:shd w:val="clear" w:color="auto" w:fill="auto"/>
            <w:vAlign w:val="center"/>
          </w:tcPr>
          <w:p w14:paraId="243F5F11" w14:textId="411715B6" w:rsidR="3E2B6792" w:rsidRDefault="3E2B6792" w:rsidP="3E2B6792">
            <w:pPr>
              <w:jc w:val="center"/>
            </w:pPr>
            <w:r>
              <w:t>7,0</w:t>
            </w:r>
          </w:p>
        </w:tc>
      </w:tr>
    </w:tbl>
    <w:p w14:paraId="0293883A" w14:textId="77777777" w:rsidR="00E15666" w:rsidRDefault="00E15666" w:rsidP="3E2B6792">
      <w:pPr>
        <w:ind w:firstLine="567"/>
        <w:jc w:val="both"/>
        <w:rPr>
          <w:sz w:val="22"/>
          <w:szCs w:val="22"/>
        </w:rPr>
      </w:pPr>
    </w:p>
    <w:p w14:paraId="0B108544" w14:textId="33EAD9DD" w:rsidR="3E2B6792" w:rsidRDefault="15B9E4BA" w:rsidP="3E2B6792">
      <w:pPr>
        <w:ind w:firstLine="567"/>
        <w:jc w:val="both"/>
        <w:rPr>
          <w:sz w:val="22"/>
          <w:szCs w:val="22"/>
        </w:rPr>
      </w:pPr>
      <w:r w:rsidRPr="15B9E4BA">
        <w:rPr>
          <w:sz w:val="22"/>
          <w:szCs w:val="22"/>
        </w:rPr>
        <w:t>Tendo sido fixados a relação água/cimento, a mistura com 50% de pó de vidro incorporado atingiu abatimento de tronco de cone maior que aquela com 100% do resíduo. Isso demonstra a influência do material na trabalhabilidade do concreto: quanto maior o teor de pó de vidro, maior a demanda de água e/ou aditivo na mistura. Esse comportamento pode ser creditado à quantidade de material fino nas composições empregadas: a composição com 50% de pó de vidro possui cerca de 50% dos grãos com diâmetro entre o,15mm e 0,6mm; já na mistura com 100% pó de vidro, essa proporção é da ordem 60% (Figura 1). Por outro lado, poder-se-ia esperar que o concreto referência, se produzido com o mesmo teor de aditivo dos demais (1,2% sobre a massa do cimento) atingiria valores superiores aos concretos com pó de vidro, visto que quase atingiu o limite especificado com apenas ¼ do valor empregado nos outros concretos que se deve, em princípio, ao grau de finura desse material, se comparado à areia natural, originalmente presente na mistura, visto que a areia natural apresenta menor módulo de finura que o pó de vidro (Quadro 1). Materiais mais finos (maior superfície específica), exigem mais água para que se atinja um mesmo abatimento de tronco de cone (METHA E MONTEIRO, 2014).</w:t>
      </w:r>
    </w:p>
    <w:p w14:paraId="74726316" w14:textId="170DDDBF" w:rsidR="0049264B" w:rsidRDefault="3E2B6792" w:rsidP="0049264B">
      <w:pPr>
        <w:ind w:firstLine="567"/>
        <w:jc w:val="both"/>
        <w:rPr>
          <w:sz w:val="22"/>
          <w:szCs w:val="22"/>
        </w:rPr>
      </w:pPr>
      <w:r w:rsidRPr="3E2B6792">
        <w:rPr>
          <w:sz w:val="22"/>
          <w:szCs w:val="22"/>
        </w:rPr>
        <w:lastRenderedPageBreak/>
        <w:t>Os resultados do</w:t>
      </w:r>
      <w:r w:rsidR="00972F4E">
        <w:rPr>
          <w:sz w:val="22"/>
          <w:szCs w:val="22"/>
        </w:rPr>
        <w:t>s</w:t>
      </w:r>
      <w:r w:rsidRPr="3E2B6792">
        <w:rPr>
          <w:sz w:val="22"/>
          <w:szCs w:val="22"/>
        </w:rPr>
        <w:t xml:space="preserve"> ensaio</w:t>
      </w:r>
      <w:r w:rsidR="00972F4E">
        <w:rPr>
          <w:sz w:val="22"/>
          <w:szCs w:val="22"/>
        </w:rPr>
        <w:t>s realizados no estado endurecido dos concretos</w:t>
      </w:r>
      <w:r w:rsidRPr="3E2B6792">
        <w:rPr>
          <w:sz w:val="22"/>
          <w:szCs w:val="22"/>
        </w:rPr>
        <w:t xml:space="preserve"> </w:t>
      </w:r>
      <w:r w:rsidR="00972F4E">
        <w:rPr>
          <w:sz w:val="22"/>
          <w:szCs w:val="22"/>
        </w:rPr>
        <w:t xml:space="preserve">são </w:t>
      </w:r>
      <w:r w:rsidRPr="3E2B6792">
        <w:rPr>
          <w:sz w:val="22"/>
          <w:szCs w:val="22"/>
        </w:rPr>
        <w:t xml:space="preserve">apresentados na Tabela </w:t>
      </w:r>
      <w:r w:rsidR="00892495">
        <w:rPr>
          <w:sz w:val="22"/>
          <w:szCs w:val="22"/>
        </w:rPr>
        <w:t>2</w:t>
      </w:r>
      <w:r w:rsidRPr="3E2B6792">
        <w:rPr>
          <w:sz w:val="22"/>
          <w:szCs w:val="22"/>
        </w:rPr>
        <w:t>.</w:t>
      </w:r>
    </w:p>
    <w:p w14:paraId="63502FDC" w14:textId="77777777" w:rsidR="0049264B" w:rsidRDefault="0049264B" w:rsidP="0049264B">
      <w:pPr>
        <w:ind w:firstLine="567"/>
        <w:jc w:val="both"/>
        <w:rPr>
          <w:sz w:val="22"/>
          <w:szCs w:val="22"/>
        </w:rPr>
      </w:pPr>
    </w:p>
    <w:p w14:paraId="16490848" w14:textId="3AF3227B" w:rsidR="0049264B" w:rsidRDefault="3E2B6792" w:rsidP="0049264B">
      <w:pPr>
        <w:jc w:val="both"/>
        <w:rPr>
          <w:sz w:val="22"/>
          <w:szCs w:val="22"/>
        </w:rPr>
      </w:pPr>
      <w:r w:rsidRPr="3E2B6792">
        <w:rPr>
          <w:sz w:val="22"/>
          <w:szCs w:val="22"/>
        </w:rPr>
        <w:t xml:space="preserve">Tabela </w:t>
      </w:r>
      <w:r w:rsidR="00892495">
        <w:rPr>
          <w:sz w:val="22"/>
          <w:szCs w:val="22"/>
        </w:rPr>
        <w:t>2</w:t>
      </w:r>
      <w:r w:rsidRPr="3E2B6792">
        <w:rPr>
          <w:sz w:val="22"/>
          <w:szCs w:val="22"/>
        </w:rPr>
        <w:t xml:space="preserve">. </w:t>
      </w:r>
      <w:r w:rsidR="00892495">
        <w:rPr>
          <w:sz w:val="22"/>
          <w:szCs w:val="22"/>
        </w:rPr>
        <w:t>Massa específica, r</w:t>
      </w:r>
      <w:r w:rsidRPr="3E2B6792">
        <w:rPr>
          <w:sz w:val="22"/>
          <w:szCs w:val="22"/>
        </w:rPr>
        <w:t>esistência à compressão axial e módulo de elasticidad</w:t>
      </w:r>
      <w:r w:rsidR="00892495">
        <w:rPr>
          <w:sz w:val="22"/>
          <w:szCs w:val="22"/>
        </w:rPr>
        <w:t>e</w:t>
      </w:r>
      <w:r w:rsidRPr="3E2B6792">
        <w:rPr>
          <w:sz w:val="22"/>
          <w:szCs w:val="22"/>
        </w:rPr>
        <w:t xml:space="preserve"> dos concretos</w:t>
      </w:r>
    </w:p>
    <w:tbl>
      <w:tblPr>
        <w:tblW w:w="8963" w:type="dxa"/>
        <w:tblInd w:w="108" w:type="dxa"/>
        <w:tblBorders>
          <w:top w:val="single" w:sz="4" w:space="0" w:color="7F7F7F" w:themeColor="text1" w:themeTint="80"/>
          <w:bottom w:val="single" w:sz="4" w:space="0" w:color="7F7F7F" w:themeColor="text1" w:themeTint="80"/>
        </w:tblBorders>
        <w:tblLook w:val="04A0" w:firstRow="1" w:lastRow="0" w:firstColumn="1" w:lastColumn="0" w:noHBand="0" w:noVBand="1"/>
      </w:tblPr>
      <w:tblGrid>
        <w:gridCol w:w="2019"/>
        <w:gridCol w:w="1842"/>
        <w:gridCol w:w="2694"/>
        <w:gridCol w:w="2408"/>
      </w:tblGrid>
      <w:tr w:rsidR="00892495" w:rsidRPr="003F3C45" w14:paraId="04578B86" w14:textId="77777777" w:rsidTr="00892495">
        <w:trPr>
          <w:trHeight w:val="300"/>
        </w:trPr>
        <w:tc>
          <w:tcPr>
            <w:tcW w:w="2019" w:type="dxa"/>
            <w:tcBorders>
              <w:bottom w:val="single" w:sz="4" w:space="0" w:color="7F7F7F" w:themeColor="text1" w:themeTint="80"/>
            </w:tcBorders>
            <w:shd w:val="clear" w:color="auto" w:fill="auto"/>
            <w:vAlign w:val="center"/>
          </w:tcPr>
          <w:p w14:paraId="0ACF6137" w14:textId="77777777" w:rsidR="00892495" w:rsidRPr="003F3C45" w:rsidRDefault="00892495" w:rsidP="00892495">
            <w:pPr>
              <w:jc w:val="center"/>
              <w:rPr>
                <w:b/>
                <w:bCs/>
                <w:sz w:val="22"/>
                <w:szCs w:val="22"/>
              </w:rPr>
            </w:pPr>
            <w:r w:rsidRPr="003F3C45">
              <w:rPr>
                <w:b/>
                <w:bCs/>
                <w:sz w:val="22"/>
                <w:szCs w:val="22"/>
              </w:rPr>
              <w:t>Concreto</w:t>
            </w:r>
          </w:p>
        </w:tc>
        <w:tc>
          <w:tcPr>
            <w:tcW w:w="1842" w:type="dxa"/>
            <w:tcBorders>
              <w:bottom w:val="single" w:sz="4" w:space="0" w:color="7F7F7F" w:themeColor="text1" w:themeTint="80"/>
            </w:tcBorders>
            <w:vAlign w:val="center"/>
          </w:tcPr>
          <w:p w14:paraId="33E6F986" w14:textId="481B8EFF" w:rsidR="00892495" w:rsidRPr="003F3C45" w:rsidRDefault="00892495" w:rsidP="00892495">
            <w:pPr>
              <w:jc w:val="center"/>
              <w:rPr>
                <w:b/>
                <w:bCs/>
                <w:sz w:val="22"/>
                <w:szCs w:val="22"/>
              </w:rPr>
            </w:pPr>
            <w:r>
              <w:rPr>
                <w:b/>
                <w:bCs/>
                <w:sz w:val="22"/>
                <w:szCs w:val="22"/>
              </w:rPr>
              <w:t>Massa específica (kg/m³)</w:t>
            </w:r>
          </w:p>
        </w:tc>
        <w:tc>
          <w:tcPr>
            <w:tcW w:w="2694" w:type="dxa"/>
            <w:tcBorders>
              <w:bottom w:val="single" w:sz="4" w:space="0" w:color="7F7F7F" w:themeColor="text1" w:themeTint="80"/>
            </w:tcBorders>
            <w:shd w:val="clear" w:color="auto" w:fill="auto"/>
            <w:vAlign w:val="center"/>
          </w:tcPr>
          <w:p w14:paraId="50D13127" w14:textId="7AD40C40" w:rsidR="00892495" w:rsidRPr="003F3C45" w:rsidRDefault="00892495" w:rsidP="00892495">
            <w:pPr>
              <w:jc w:val="center"/>
              <w:rPr>
                <w:b/>
                <w:bCs/>
                <w:sz w:val="22"/>
                <w:szCs w:val="22"/>
              </w:rPr>
            </w:pPr>
            <w:r w:rsidRPr="003F3C45">
              <w:rPr>
                <w:b/>
                <w:bCs/>
                <w:sz w:val="22"/>
                <w:szCs w:val="22"/>
              </w:rPr>
              <w:t>Resistência à compressão axial (M</w:t>
            </w:r>
            <w:r>
              <w:rPr>
                <w:b/>
                <w:bCs/>
                <w:sz w:val="22"/>
                <w:szCs w:val="22"/>
              </w:rPr>
              <w:t>P</w:t>
            </w:r>
            <w:r w:rsidRPr="003F3C45">
              <w:rPr>
                <w:b/>
                <w:bCs/>
                <w:sz w:val="22"/>
                <w:szCs w:val="22"/>
              </w:rPr>
              <w:t>a) aos 28 dias</w:t>
            </w:r>
          </w:p>
        </w:tc>
        <w:tc>
          <w:tcPr>
            <w:tcW w:w="2408" w:type="dxa"/>
            <w:tcBorders>
              <w:bottom w:val="single" w:sz="4" w:space="0" w:color="7F7F7F" w:themeColor="text1" w:themeTint="80"/>
            </w:tcBorders>
            <w:shd w:val="clear" w:color="auto" w:fill="auto"/>
            <w:vAlign w:val="center"/>
          </w:tcPr>
          <w:p w14:paraId="47649133" w14:textId="56BC2F6E" w:rsidR="00892495" w:rsidRDefault="00892495" w:rsidP="00892495">
            <w:pPr>
              <w:jc w:val="center"/>
              <w:rPr>
                <w:b/>
                <w:bCs/>
                <w:sz w:val="22"/>
                <w:szCs w:val="22"/>
              </w:rPr>
            </w:pPr>
            <w:r w:rsidRPr="3E2B6792">
              <w:rPr>
                <w:b/>
                <w:bCs/>
                <w:sz w:val="22"/>
                <w:szCs w:val="22"/>
              </w:rPr>
              <w:t>Módulo de elasticidade (</w:t>
            </w:r>
            <w:proofErr w:type="spellStart"/>
            <w:r w:rsidRPr="3E2B6792">
              <w:rPr>
                <w:b/>
                <w:bCs/>
                <w:sz w:val="22"/>
                <w:szCs w:val="22"/>
              </w:rPr>
              <w:t>GPa</w:t>
            </w:r>
            <w:proofErr w:type="spellEnd"/>
            <w:r w:rsidRPr="3E2B6792">
              <w:rPr>
                <w:b/>
                <w:bCs/>
                <w:sz w:val="22"/>
                <w:szCs w:val="22"/>
              </w:rPr>
              <w:t>) aos 28 dias</w:t>
            </w:r>
          </w:p>
        </w:tc>
      </w:tr>
      <w:tr w:rsidR="00892495" w:rsidRPr="003F3C45" w14:paraId="348A9881" w14:textId="77777777" w:rsidTr="00892495">
        <w:trPr>
          <w:trHeight w:val="300"/>
        </w:trPr>
        <w:tc>
          <w:tcPr>
            <w:tcW w:w="2019" w:type="dxa"/>
            <w:tcBorders>
              <w:top w:val="single" w:sz="4" w:space="0" w:color="7F7F7F" w:themeColor="text1" w:themeTint="80"/>
              <w:bottom w:val="single" w:sz="4" w:space="0" w:color="7F7F7F" w:themeColor="text1" w:themeTint="80"/>
            </w:tcBorders>
            <w:shd w:val="clear" w:color="auto" w:fill="auto"/>
            <w:vAlign w:val="center"/>
          </w:tcPr>
          <w:p w14:paraId="2D904BCD" w14:textId="77777777" w:rsidR="00892495" w:rsidRPr="003F3C45" w:rsidRDefault="00892495" w:rsidP="00892495">
            <w:pPr>
              <w:jc w:val="center"/>
              <w:rPr>
                <w:b/>
                <w:bCs/>
              </w:rPr>
            </w:pPr>
            <w:r w:rsidRPr="003F3C45">
              <w:rPr>
                <w:b/>
                <w:bCs/>
              </w:rPr>
              <w:t>Referência</w:t>
            </w:r>
          </w:p>
        </w:tc>
        <w:tc>
          <w:tcPr>
            <w:tcW w:w="1842" w:type="dxa"/>
            <w:tcBorders>
              <w:top w:val="single" w:sz="4" w:space="0" w:color="7F7F7F" w:themeColor="text1" w:themeTint="80"/>
              <w:bottom w:val="single" w:sz="4" w:space="0" w:color="7F7F7F" w:themeColor="text1" w:themeTint="80"/>
            </w:tcBorders>
            <w:vAlign w:val="center"/>
          </w:tcPr>
          <w:p w14:paraId="63B9D818" w14:textId="5BC8DA4E" w:rsidR="00892495" w:rsidRPr="00972F4E" w:rsidRDefault="00892495" w:rsidP="00892495">
            <w:pPr>
              <w:jc w:val="center"/>
            </w:pPr>
            <w:r w:rsidRPr="00972F4E">
              <w:t>2.388,54</w:t>
            </w:r>
          </w:p>
        </w:tc>
        <w:tc>
          <w:tcPr>
            <w:tcW w:w="2694" w:type="dxa"/>
            <w:tcBorders>
              <w:top w:val="single" w:sz="4" w:space="0" w:color="7F7F7F" w:themeColor="text1" w:themeTint="80"/>
              <w:bottom w:val="single" w:sz="4" w:space="0" w:color="7F7F7F" w:themeColor="text1" w:themeTint="80"/>
            </w:tcBorders>
            <w:shd w:val="clear" w:color="auto" w:fill="auto"/>
            <w:vAlign w:val="center"/>
          </w:tcPr>
          <w:p w14:paraId="13B8D330" w14:textId="3EFF5056" w:rsidR="00892495" w:rsidRDefault="00892495" w:rsidP="00892495">
            <w:pPr>
              <w:jc w:val="center"/>
            </w:pPr>
            <w:r>
              <w:t>37,61</w:t>
            </w:r>
          </w:p>
        </w:tc>
        <w:tc>
          <w:tcPr>
            <w:tcW w:w="2408" w:type="dxa"/>
            <w:tcBorders>
              <w:top w:val="single" w:sz="4" w:space="0" w:color="7F7F7F" w:themeColor="text1" w:themeTint="80"/>
              <w:bottom w:val="single" w:sz="4" w:space="0" w:color="7F7F7F" w:themeColor="text1" w:themeTint="80"/>
            </w:tcBorders>
            <w:shd w:val="clear" w:color="auto" w:fill="auto"/>
            <w:vAlign w:val="center"/>
          </w:tcPr>
          <w:p w14:paraId="5156155B" w14:textId="4A3930CA" w:rsidR="00892495" w:rsidRDefault="00892495" w:rsidP="00892495">
            <w:pPr>
              <w:jc w:val="center"/>
            </w:pPr>
            <w:r>
              <w:t>27,90</w:t>
            </w:r>
          </w:p>
        </w:tc>
      </w:tr>
      <w:tr w:rsidR="00892495" w:rsidRPr="003F3C45" w14:paraId="0E23693D" w14:textId="77777777" w:rsidTr="00892495">
        <w:trPr>
          <w:trHeight w:val="300"/>
        </w:trPr>
        <w:tc>
          <w:tcPr>
            <w:tcW w:w="2019" w:type="dxa"/>
            <w:shd w:val="clear" w:color="auto" w:fill="auto"/>
            <w:vAlign w:val="center"/>
          </w:tcPr>
          <w:p w14:paraId="44094BF4" w14:textId="77777777" w:rsidR="00892495" w:rsidRPr="003F3C45" w:rsidRDefault="00892495" w:rsidP="00892495">
            <w:pPr>
              <w:jc w:val="center"/>
              <w:rPr>
                <w:b/>
                <w:bCs/>
              </w:rPr>
            </w:pPr>
            <w:r w:rsidRPr="003F3C45">
              <w:rPr>
                <w:b/>
                <w:bCs/>
              </w:rPr>
              <w:t>Teor de 50% de substituição por pó de vidro</w:t>
            </w:r>
          </w:p>
        </w:tc>
        <w:tc>
          <w:tcPr>
            <w:tcW w:w="1842" w:type="dxa"/>
            <w:vAlign w:val="center"/>
          </w:tcPr>
          <w:p w14:paraId="0D38E14B" w14:textId="34EB4F4C" w:rsidR="00892495" w:rsidRPr="00972F4E" w:rsidRDefault="00892495" w:rsidP="00892495">
            <w:pPr>
              <w:jc w:val="center"/>
            </w:pPr>
            <w:r w:rsidRPr="00972F4E">
              <w:t>2.441,72</w:t>
            </w:r>
          </w:p>
        </w:tc>
        <w:tc>
          <w:tcPr>
            <w:tcW w:w="2694" w:type="dxa"/>
            <w:shd w:val="clear" w:color="auto" w:fill="auto"/>
            <w:vAlign w:val="center"/>
          </w:tcPr>
          <w:p w14:paraId="33B3A73C" w14:textId="6BA3FD4A" w:rsidR="00892495" w:rsidRDefault="00892495" w:rsidP="00892495">
            <w:pPr>
              <w:jc w:val="center"/>
            </w:pPr>
            <w:r>
              <w:t>40,75</w:t>
            </w:r>
          </w:p>
        </w:tc>
        <w:tc>
          <w:tcPr>
            <w:tcW w:w="2408" w:type="dxa"/>
            <w:shd w:val="clear" w:color="auto" w:fill="auto"/>
            <w:vAlign w:val="center"/>
          </w:tcPr>
          <w:p w14:paraId="6A9618B1" w14:textId="2F27420D" w:rsidR="00892495" w:rsidRDefault="00892495" w:rsidP="00892495">
            <w:pPr>
              <w:jc w:val="center"/>
            </w:pPr>
            <w:r>
              <w:t>32,14</w:t>
            </w:r>
          </w:p>
        </w:tc>
      </w:tr>
      <w:tr w:rsidR="00892495" w:rsidRPr="003F3C45" w14:paraId="4D38EC32" w14:textId="77777777" w:rsidTr="00892495">
        <w:trPr>
          <w:trHeight w:val="300"/>
        </w:trPr>
        <w:tc>
          <w:tcPr>
            <w:tcW w:w="2019" w:type="dxa"/>
            <w:tcBorders>
              <w:top w:val="single" w:sz="4" w:space="0" w:color="7F7F7F" w:themeColor="text1" w:themeTint="80"/>
              <w:bottom w:val="single" w:sz="4" w:space="0" w:color="7F7F7F" w:themeColor="text1" w:themeTint="80"/>
            </w:tcBorders>
            <w:shd w:val="clear" w:color="auto" w:fill="auto"/>
            <w:vAlign w:val="center"/>
          </w:tcPr>
          <w:p w14:paraId="7F8904B9" w14:textId="77777777" w:rsidR="00892495" w:rsidRPr="003F3C45" w:rsidRDefault="00892495" w:rsidP="00892495">
            <w:pPr>
              <w:jc w:val="center"/>
              <w:rPr>
                <w:b/>
                <w:bCs/>
              </w:rPr>
            </w:pPr>
            <w:r w:rsidRPr="003F3C45">
              <w:rPr>
                <w:b/>
                <w:bCs/>
              </w:rPr>
              <w:t>Teor de 100% de substituição por pó de vidro</w:t>
            </w:r>
          </w:p>
        </w:tc>
        <w:tc>
          <w:tcPr>
            <w:tcW w:w="1842" w:type="dxa"/>
            <w:tcBorders>
              <w:top w:val="single" w:sz="4" w:space="0" w:color="7F7F7F" w:themeColor="text1" w:themeTint="80"/>
              <w:bottom w:val="single" w:sz="4" w:space="0" w:color="7F7F7F" w:themeColor="text1" w:themeTint="80"/>
            </w:tcBorders>
            <w:vAlign w:val="center"/>
          </w:tcPr>
          <w:p w14:paraId="4003DB16" w14:textId="3285E475" w:rsidR="00892495" w:rsidRDefault="00892495" w:rsidP="00892495">
            <w:pPr>
              <w:jc w:val="center"/>
            </w:pPr>
            <w:r>
              <w:t>2.243,74</w:t>
            </w:r>
          </w:p>
        </w:tc>
        <w:tc>
          <w:tcPr>
            <w:tcW w:w="2694" w:type="dxa"/>
            <w:tcBorders>
              <w:top w:val="single" w:sz="4" w:space="0" w:color="7F7F7F" w:themeColor="text1" w:themeTint="80"/>
              <w:bottom w:val="single" w:sz="4" w:space="0" w:color="7F7F7F" w:themeColor="text1" w:themeTint="80"/>
            </w:tcBorders>
            <w:shd w:val="clear" w:color="auto" w:fill="auto"/>
            <w:vAlign w:val="center"/>
          </w:tcPr>
          <w:p w14:paraId="46873CEB" w14:textId="5A27B2D1" w:rsidR="00892495" w:rsidRDefault="00892495" w:rsidP="00892495">
            <w:pPr>
              <w:jc w:val="center"/>
            </w:pPr>
            <w:r>
              <w:t>47,38</w:t>
            </w:r>
          </w:p>
        </w:tc>
        <w:tc>
          <w:tcPr>
            <w:tcW w:w="2408" w:type="dxa"/>
            <w:tcBorders>
              <w:top w:val="single" w:sz="4" w:space="0" w:color="7F7F7F" w:themeColor="text1" w:themeTint="80"/>
              <w:bottom w:val="single" w:sz="4" w:space="0" w:color="7F7F7F" w:themeColor="text1" w:themeTint="80"/>
            </w:tcBorders>
            <w:shd w:val="clear" w:color="auto" w:fill="auto"/>
            <w:vAlign w:val="center"/>
          </w:tcPr>
          <w:p w14:paraId="01C06A98" w14:textId="2DE606A1" w:rsidR="00892495" w:rsidRDefault="00892495" w:rsidP="00892495">
            <w:pPr>
              <w:jc w:val="center"/>
            </w:pPr>
            <w:r>
              <w:t>29,12</w:t>
            </w:r>
          </w:p>
        </w:tc>
      </w:tr>
    </w:tbl>
    <w:p w14:paraId="1BCA186D" w14:textId="77777777" w:rsidR="0049264B" w:rsidRPr="0049264B" w:rsidRDefault="0049264B" w:rsidP="0049264B">
      <w:pPr>
        <w:jc w:val="both"/>
        <w:rPr>
          <w:sz w:val="22"/>
          <w:szCs w:val="22"/>
        </w:rPr>
      </w:pPr>
    </w:p>
    <w:p w14:paraId="6600CBF1" w14:textId="61731633" w:rsidR="00892495" w:rsidRDefault="00B6192A" w:rsidP="0049264B">
      <w:pPr>
        <w:ind w:firstLine="567"/>
        <w:jc w:val="both"/>
        <w:rPr>
          <w:sz w:val="22"/>
          <w:szCs w:val="22"/>
        </w:rPr>
      </w:pPr>
      <w:r>
        <w:rPr>
          <w:sz w:val="22"/>
          <w:szCs w:val="22"/>
        </w:rPr>
        <w:t>A massa específica dos concretos</w:t>
      </w:r>
      <w:r w:rsidRPr="00892495">
        <w:rPr>
          <w:sz w:val="22"/>
          <w:szCs w:val="22"/>
        </w:rPr>
        <w:t xml:space="preserve"> </w:t>
      </w:r>
      <w:r>
        <w:rPr>
          <w:sz w:val="22"/>
          <w:szCs w:val="22"/>
        </w:rPr>
        <w:t>ficou dentro na</w:t>
      </w:r>
      <w:r w:rsidRPr="00892495">
        <w:rPr>
          <w:sz w:val="22"/>
          <w:szCs w:val="22"/>
        </w:rPr>
        <w:t xml:space="preserve"> ordem </w:t>
      </w:r>
      <w:r w:rsidR="003C7603">
        <w:rPr>
          <w:sz w:val="22"/>
          <w:szCs w:val="22"/>
        </w:rPr>
        <w:t xml:space="preserve">de grandeza </w:t>
      </w:r>
      <w:r w:rsidRPr="00892495">
        <w:rPr>
          <w:sz w:val="22"/>
          <w:szCs w:val="22"/>
        </w:rPr>
        <w:t xml:space="preserve">do que </w:t>
      </w:r>
      <w:proofErr w:type="spellStart"/>
      <w:r w:rsidRPr="00892495">
        <w:rPr>
          <w:sz w:val="22"/>
          <w:szCs w:val="22"/>
        </w:rPr>
        <w:t>Mehta</w:t>
      </w:r>
      <w:proofErr w:type="spellEnd"/>
      <w:r w:rsidRPr="00892495">
        <w:rPr>
          <w:sz w:val="22"/>
          <w:szCs w:val="22"/>
        </w:rPr>
        <w:t xml:space="preserve"> e Monteiro (2014) </w:t>
      </w:r>
      <w:r>
        <w:rPr>
          <w:sz w:val="22"/>
          <w:szCs w:val="22"/>
        </w:rPr>
        <w:t>chamam</w:t>
      </w:r>
      <w:r w:rsidRPr="00892495">
        <w:rPr>
          <w:sz w:val="22"/>
          <w:szCs w:val="22"/>
        </w:rPr>
        <w:t xml:space="preserve"> de concreto de densidade normal, isto é, em torno de 2.400 kg/m³.</w:t>
      </w:r>
      <w:r>
        <w:rPr>
          <w:sz w:val="22"/>
          <w:szCs w:val="22"/>
        </w:rPr>
        <w:t xml:space="preserve"> Ainda que a areia natural e o pó de vidro apresentem massa específica de </w:t>
      </w:r>
      <w:r w:rsidR="003C7603">
        <w:rPr>
          <w:sz w:val="22"/>
          <w:szCs w:val="22"/>
        </w:rPr>
        <w:t>diferentes</w:t>
      </w:r>
      <w:r>
        <w:rPr>
          <w:sz w:val="22"/>
          <w:szCs w:val="22"/>
        </w:rPr>
        <w:t xml:space="preserve"> orde</w:t>
      </w:r>
      <w:r w:rsidR="003C7603">
        <w:rPr>
          <w:sz w:val="22"/>
          <w:szCs w:val="22"/>
        </w:rPr>
        <w:t>ns</w:t>
      </w:r>
      <w:r>
        <w:rPr>
          <w:sz w:val="22"/>
          <w:szCs w:val="22"/>
        </w:rPr>
        <w:t xml:space="preserve"> de grandeza (2,64 kg/dm</w:t>
      </w:r>
      <w:r>
        <w:rPr>
          <w:sz w:val="22"/>
          <w:szCs w:val="22"/>
          <w:vertAlign w:val="superscript"/>
        </w:rPr>
        <w:t>3</w:t>
      </w:r>
      <w:r>
        <w:rPr>
          <w:sz w:val="22"/>
          <w:szCs w:val="22"/>
        </w:rPr>
        <w:t xml:space="preserve"> e 2,27kg/dm</w:t>
      </w:r>
      <w:r>
        <w:rPr>
          <w:sz w:val="22"/>
          <w:szCs w:val="22"/>
          <w:vertAlign w:val="superscript"/>
        </w:rPr>
        <w:t>3</w:t>
      </w:r>
      <w:r>
        <w:rPr>
          <w:sz w:val="22"/>
          <w:szCs w:val="22"/>
        </w:rPr>
        <w:t>, respectivamente) e a substituição de um material por outo</w:t>
      </w:r>
      <w:r w:rsidR="003C7603">
        <w:rPr>
          <w:sz w:val="22"/>
          <w:szCs w:val="22"/>
        </w:rPr>
        <w:t xml:space="preserve">, aqui, </w:t>
      </w:r>
      <w:r>
        <w:rPr>
          <w:sz w:val="22"/>
          <w:szCs w:val="22"/>
        </w:rPr>
        <w:t xml:space="preserve">tenha sido feita em massa, o concreto referência e o concreto com 50% de substituição de areia natural por pó de vidro </w:t>
      </w:r>
      <w:r w:rsidR="00715065">
        <w:rPr>
          <w:sz w:val="22"/>
          <w:szCs w:val="22"/>
        </w:rPr>
        <w:t>não podem ser considerados estatisticamente diferentes,</w:t>
      </w:r>
      <w:r w:rsidR="0042116C">
        <w:rPr>
          <w:sz w:val="22"/>
          <w:szCs w:val="22"/>
        </w:rPr>
        <w:t xml:space="preserve"> com 95% de confiança,</w:t>
      </w:r>
      <w:r w:rsidR="00C70102">
        <w:rPr>
          <w:sz w:val="22"/>
          <w:szCs w:val="22"/>
        </w:rPr>
        <w:t xml:space="preserve"> </w:t>
      </w:r>
      <w:r w:rsidR="00715065">
        <w:rPr>
          <w:sz w:val="22"/>
          <w:szCs w:val="22"/>
        </w:rPr>
        <w:t xml:space="preserve">quanto </w:t>
      </w:r>
      <w:r w:rsidR="00171D1E">
        <w:rPr>
          <w:sz w:val="22"/>
          <w:szCs w:val="22"/>
        </w:rPr>
        <w:t xml:space="preserve">a análise desta propriedade. Já o concreto com 100% de pó de vidro difere estatisticamente dos demais, indicando que deve haver um valor ótimo para </w:t>
      </w:r>
      <w:r w:rsidR="00D9529B">
        <w:rPr>
          <w:sz w:val="22"/>
          <w:szCs w:val="22"/>
        </w:rPr>
        <w:t>que a substituição</w:t>
      </w:r>
      <w:r w:rsidR="00171D1E">
        <w:rPr>
          <w:sz w:val="22"/>
          <w:szCs w:val="22"/>
        </w:rPr>
        <w:t xml:space="preserve"> </w:t>
      </w:r>
      <w:r w:rsidR="00D9529B">
        <w:rPr>
          <w:sz w:val="22"/>
          <w:szCs w:val="22"/>
        </w:rPr>
        <w:t>do material possa ser feita em massa</w:t>
      </w:r>
      <w:r w:rsidR="0042116C">
        <w:rPr>
          <w:sz w:val="22"/>
          <w:szCs w:val="22"/>
        </w:rPr>
        <w:t>,</w:t>
      </w:r>
      <w:r w:rsidR="00D9529B">
        <w:rPr>
          <w:sz w:val="22"/>
          <w:szCs w:val="22"/>
        </w:rPr>
        <w:t xml:space="preserve"> a partir do qual</w:t>
      </w:r>
      <w:r w:rsidR="0042116C">
        <w:rPr>
          <w:sz w:val="22"/>
          <w:szCs w:val="22"/>
        </w:rPr>
        <w:t xml:space="preserve"> </w:t>
      </w:r>
      <w:r w:rsidR="00D9529B">
        <w:rPr>
          <w:sz w:val="22"/>
          <w:szCs w:val="22"/>
        </w:rPr>
        <w:t>deva ser feita em volume ab</w:t>
      </w:r>
      <w:r w:rsidR="001D0B21">
        <w:rPr>
          <w:sz w:val="22"/>
          <w:szCs w:val="22"/>
        </w:rPr>
        <w:t>soluto de material, sob pena de redução significativa na massa específica do produto obtido.</w:t>
      </w:r>
    </w:p>
    <w:p w14:paraId="343C6636" w14:textId="7296D04F" w:rsidR="0049264B" w:rsidRPr="0049264B" w:rsidRDefault="15B9E4BA" w:rsidP="0049264B">
      <w:pPr>
        <w:ind w:firstLine="567"/>
        <w:jc w:val="both"/>
        <w:rPr>
          <w:sz w:val="22"/>
          <w:szCs w:val="22"/>
        </w:rPr>
      </w:pPr>
      <w:r w:rsidRPr="15B9E4BA">
        <w:rPr>
          <w:sz w:val="22"/>
          <w:szCs w:val="22"/>
        </w:rPr>
        <w:t>O ensaio de resistência à compressão axial apontou que o concreto referência atingiu resultado inferior ao esperado: 37,61 MPa, quando o mínimo a ser atingido seria de 40 MPa. É possível constatar que os concretos com substituição da areia natural por pó de vidro, em ambos os teores avaliados, alcançam resultados da ordem de 40 MPa (concreto com 50% de substituição de areia natural por pó de vidro) e superior ao valor de 40MPa (concreto com 100% de substituição de pó de vidro por areia natural). Estatisticamente (Teste de Duncan – NANNI, 1986) apontou que o concreto com teor de 100% de pó de vidro difere significativamente dos outros dois, apresentando resultado superior para essa propriedade, já o concreto com teor de 50% de pó de vidro não diferiu do concreto referência, o que indica que o aumento do teor de pó de vidro pode beneficiar o desempenho de mecânico do concreto.</w:t>
      </w:r>
    </w:p>
    <w:p w14:paraId="0F6570D7" w14:textId="0A15D07A" w:rsidR="3E2B6792" w:rsidRDefault="3E2B6792" w:rsidP="00291127">
      <w:pPr>
        <w:ind w:firstLine="567"/>
        <w:jc w:val="both"/>
        <w:rPr>
          <w:sz w:val="22"/>
          <w:szCs w:val="22"/>
        </w:rPr>
      </w:pPr>
      <w:r w:rsidRPr="3E2B6792">
        <w:rPr>
          <w:sz w:val="22"/>
          <w:szCs w:val="22"/>
        </w:rPr>
        <w:t xml:space="preserve">Para o ensaio de módulo de elasticidade, os resultados obtidos apontam que </w:t>
      </w:r>
      <w:r w:rsidR="006377CA">
        <w:rPr>
          <w:sz w:val="22"/>
          <w:szCs w:val="22"/>
        </w:rPr>
        <w:t>o</w:t>
      </w:r>
      <w:r w:rsidRPr="3E2B6792">
        <w:rPr>
          <w:sz w:val="22"/>
          <w:szCs w:val="22"/>
        </w:rPr>
        <w:t xml:space="preserve"> pó de vidro </w:t>
      </w:r>
      <w:r w:rsidR="00160224">
        <w:rPr>
          <w:sz w:val="22"/>
          <w:szCs w:val="22"/>
        </w:rPr>
        <w:t xml:space="preserve">também </w:t>
      </w:r>
      <w:r w:rsidRPr="3E2B6792">
        <w:rPr>
          <w:sz w:val="22"/>
          <w:szCs w:val="22"/>
        </w:rPr>
        <w:t>parece interferir nessa propriedade do concreto</w:t>
      </w:r>
      <w:r w:rsidR="005B0B72">
        <w:rPr>
          <w:sz w:val="22"/>
          <w:szCs w:val="22"/>
        </w:rPr>
        <w:t>.</w:t>
      </w:r>
      <w:r w:rsidRPr="3E2B6792">
        <w:rPr>
          <w:sz w:val="22"/>
          <w:szCs w:val="22"/>
        </w:rPr>
        <w:t xml:space="preserve"> Os concretos com teores de 50</w:t>
      </w:r>
      <w:r w:rsidR="00C4444D">
        <w:rPr>
          <w:sz w:val="22"/>
          <w:szCs w:val="22"/>
        </w:rPr>
        <w:t>%</w:t>
      </w:r>
      <w:r w:rsidRPr="3E2B6792">
        <w:rPr>
          <w:sz w:val="22"/>
          <w:szCs w:val="22"/>
        </w:rPr>
        <w:t xml:space="preserve"> e 100% de pó de vidro em substituição </w:t>
      </w:r>
      <w:r w:rsidR="00BB3524">
        <w:rPr>
          <w:sz w:val="22"/>
          <w:szCs w:val="22"/>
        </w:rPr>
        <w:t>à</w:t>
      </w:r>
      <w:r w:rsidRPr="3E2B6792">
        <w:rPr>
          <w:sz w:val="22"/>
          <w:szCs w:val="22"/>
        </w:rPr>
        <w:t xml:space="preserve"> areia natural</w:t>
      </w:r>
      <w:r w:rsidR="00BB3524">
        <w:rPr>
          <w:sz w:val="22"/>
          <w:szCs w:val="22"/>
        </w:rPr>
        <w:t>,</w:t>
      </w:r>
      <w:r w:rsidRPr="3E2B6792">
        <w:rPr>
          <w:sz w:val="22"/>
          <w:szCs w:val="22"/>
        </w:rPr>
        <w:t xml:space="preserve"> alcançaram 32,14 e 29,12 </w:t>
      </w:r>
      <w:proofErr w:type="spellStart"/>
      <w:r w:rsidRPr="3E2B6792">
        <w:rPr>
          <w:sz w:val="22"/>
          <w:szCs w:val="22"/>
        </w:rPr>
        <w:t>GPa</w:t>
      </w:r>
      <w:proofErr w:type="spellEnd"/>
      <w:r w:rsidRPr="3E2B6792">
        <w:rPr>
          <w:sz w:val="22"/>
          <w:szCs w:val="22"/>
        </w:rPr>
        <w:t xml:space="preserve">, respectivamente, enquanto o concreto referência obteve s 27,90 </w:t>
      </w:r>
      <w:proofErr w:type="spellStart"/>
      <w:r w:rsidRPr="3E2B6792">
        <w:rPr>
          <w:sz w:val="22"/>
          <w:szCs w:val="22"/>
        </w:rPr>
        <w:t>GPa</w:t>
      </w:r>
      <w:proofErr w:type="spellEnd"/>
      <w:r w:rsidRPr="3E2B6792">
        <w:rPr>
          <w:sz w:val="22"/>
          <w:szCs w:val="22"/>
        </w:rPr>
        <w:t>.</w:t>
      </w:r>
      <w:r w:rsidR="00291127">
        <w:rPr>
          <w:sz w:val="22"/>
          <w:szCs w:val="22"/>
        </w:rPr>
        <w:t xml:space="preserve"> Neste caso, a</w:t>
      </w:r>
      <w:r w:rsidRPr="3E2B6792">
        <w:rPr>
          <w:sz w:val="22"/>
          <w:szCs w:val="22"/>
        </w:rPr>
        <w:t xml:space="preserve"> análise de múltipla </w:t>
      </w:r>
      <w:r w:rsidR="00291127">
        <w:rPr>
          <w:sz w:val="22"/>
          <w:szCs w:val="22"/>
        </w:rPr>
        <w:t xml:space="preserve">de </w:t>
      </w:r>
      <w:r w:rsidRPr="3E2B6792">
        <w:rPr>
          <w:sz w:val="22"/>
          <w:szCs w:val="22"/>
        </w:rPr>
        <w:t>média</w:t>
      </w:r>
      <w:r w:rsidR="00291127">
        <w:rPr>
          <w:sz w:val="22"/>
          <w:szCs w:val="22"/>
        </w:rPr>
        <w:t>s</w:t>
      </w:r>
      <w:r w:rsidRPr="3E2B6792">
        <w:rPr>
          <w:sz w:val="22"/>
          <w:szCs w:val="22"/>
        </w:rPr>
        <w:t xml:space="preserve">, mostrou que os resultados do ensaio de módulo de elasticidade do concreto com teor de 100% de pó de vidro apresentaram médias que diferem significativamente quando </w:t>
      </w:r>
      <w:r w:rsidR="00291127">
        <w:rPr>
          <w:sz w:val="22"/>
          <w:szCs w:val="22"/>
        </w:rPr>
        <w:t>comparad</w:t>
      </w:r>
      <w:r w:rsidR="00BB3524">
        <w:rPr>
          <w:sz w:val="22"/>
          <w:szCs w:val="22"/>
        </w:rPr>
        <w:t>a</w:t>
      </w:r>
      <w:r w:rsidR="00291127">
        <w:rPr>
          <w:sz w:val="22"/>
          <w:szCs w:val="22"/>
        </w:rPr>
        <w:t>s</w:t>
      </w:r>
      <w:r w:rsidRPr="3E2B6792">
        <w:rPr>
          <w:sz w:val="22"/>
          <w:szCs w:val="22"/>
        </w:rPr>
        <w:t xml:space="preserve"> </w:t>
      </w:r>
      <w:r w:rsidR="00BB3524">
        <w:rPr>
          <w:sz w:val="22"/>
          <w:szCs w:val="22"/>
        </w:rPr>
        <w:t>à média obtida pelo</w:t>
      </w:r>
      <w:r w:rsidRPr="3E2B6792">
        <w:rPr>
          <w:sz w:val="22"/>
          <w:szCs w:val="22"/>
        </w:rPr>
        <w:t xml:space="preserve"> concreto referência</w:t>
      </w:r>
      <w:r w:rsidR="0039233B">
        <w:rPr>
          <w:sz w:val="22"/>
          <w:szCs w:val="22"/>
        </w:rPr>
        <w:t>; já para</w:t>
      </w:r>
      <w:r w:rsidRPr="3E2B6792">
        <w:rPr>
          <w:sz w:val="22"/>
          <w:szCs w:val="22"/>
        </w:rPr>
        <w:t xml:space="preserve"> o concreto com teor de 50% de pó de vidro</w:t>
      </w:r>
      <w:r w:rsidR="00BB3524">
        <w:rPr>
          <w:sz w:val="22"/>
          <w:szCs w:val="22"/>
        </w:rPr>
        <w:t>,</w:t>
      </w:r>
      <w:bookmarkStart w:id="0" w:name="_GoBack"/>
      <w:bookmarkEnd w:id="0"/>
      <w:r w:rsidRPr="3E2B6792">
        <w:rPr>
          <w:sz w:val="22"/>
          <w:szCs w:val="22"/>
        </w:rPr>
        <w:t xml:space="preserve"> </w:t>
      </w:r>
      <w:r w:rsidR="0039233B">
        <w:rPr>
          <w:sz w:val="22"/>
          <w:szCs w:val="22"/>
        </w:rPr>
        <w:t xml:space="preserve">os resultados indicam não haver diferença significativa </w:t>
      </w:r>
      <w:r w:rsidR="005B0B72">
        <w:rPr>
          <w:sz w:val="22"/>
          <w:szCs w:val="22"/>
        </w:rPr>
        <w:t>de resultados, quando comparado ao concreto referência.</w:t>
      </w:r>
    </w:p>
    <w:p w14:paraId="1B79C499" w14:textId="77777777" w:rsidR="0029578C" w:rsidRDefault="0029578C" w:rsidP="00380272">
      <w:pPr>
        <w:ind w:right="-1"/>
        <w:jc w:val="both"/>
        <w:rPr>
          <w:b/>
          <w:sz w:val="22"/>
          <w:szCs w:val="22"/>
        </w:rPr>
      </w:pPr>
    </w:p>
    <w:p w14:paraId="72C4D8F8" w14:textId="12E5F878"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073CA7CE" w14:textId="18EE58A9" w:rsidR="0034476D" w:rsidRDefault="001E30A9" w:rsidP="002F22E4">
      <w:pPr>
        <w:tabs>
          <w:tab w:val="left" w:pos="0"/>
        </w:tabs>
        <w:ind w:right="-1"/>
        <w:jc w:val="both"/>
        <w:rPr>
          <w:sz w:val="22"/>
          <w:szCs w:val="22"/>
        </w:rPr>
      </w:pPr>
      <w:r>
        <w:rPr>
          <w:sz w:val="22"/>
          <w:szCs w:val="22"/>
        </w:rPr>
        <w:tab/>
      </w:r>
      <w:r w:rsidR="00AD67E7">
        <w:rPr>
          <w:sz w:val="22"/>
          <w:szCs w:val="22"/>
        </w:rPr>
        <w:t xml:space="preserve">Dentro dos limites dessa pesquisa, </w:t>
      </w:r>
      <w:r w:rsidR="00EA0381">
        <w:rPr>
          <w:sz w:val="22"/>
          <w:szCs w:val="22"/>
        </w:rPr>
        <w:t>foi possível evidenciar que</w:t>
      </w:r>
      <w:r w:rsidR="00335571">
        <w:rPr>
          <w:sz w:val="22"/>
          <w:szCs w:val="22"/>
        </w:rPr>
        <w:t xml:space="preserve"> </w:t>
      </w:r>
      <w:r w:rsidR="00247E16">
        <w:rPr>
          <w:sz w:val="22"/>
          <w:szCs w:val="22"/>
        </w:rPr>
        <w:t>a presença</w:t>
      </w:r>
      <w:r w:rsidR="00335571">
        <w:rPr>
          <w:sz w:val="22"/>
          <w:szCs w:val="22"/>
        </w:rPr>
        <w:t xml:space="preserve"> de pó</w:t>
      </w:r>
      <w:r w:rsidR="00426D86">
        <w:rPr>
          <w:sz w:val="22"/>
          <w:szCs w:val="22"/>
        </w:rPr>
        <w:t xml:space="preserve"> de vidro em substituição à areia natural</w:t>
      </w:r>
      <w:r w:rsidR="001B65A5">
        <w:rPr>
          <w:sz w:val="22"/>
          <w:szCs w:val="22"/>
        </w:rPr>
        <w:t>,</w:t>
      </w:r>
      <w:r w:rsidR="00426D86">
        <w:rPr>
          <w:sz w:val="22"/>
          <w:szCs w:val="22"/>
        </w:rPr>
        <w:t xml:space="preserve"> em misturas de concreto de </w:t>
      </w:r>
      <w:r w:rsidR="001B65A5">
        <w:rPr>
          <w:sz w:val="22"/>
          <w:szCs w:val="22"/>
        </w:rPr>
        <w:t xml:space="preserve">cimento Portland, </w:t>
      </w:r>
      <w:r w:rsidR="00247E16">
        <w:rPr>
          <w:sz w:val="22"/>
          <w:szCs w:val="22"/>
        </w:rPr>
        <w:t xml:space="preserve">promoveu alterações </w:t>
      </w:r>
      <w:r w:rsidR="0046365C">
        <w:rPr>
          <w:sz w:val="22"/>
          <w:szCs w:val="22"/>
        </w:rPr>
        <w:t>nas propriedades do concreto</w:t>
      </w:r>
      <w:r w:rsidR="00715DFE">
        <w:rPr>
          <w:sz w:val="22"/>
          <w:szCs w:val="22"/>
        </w:rPr>
        <w:t>,</w:t>
      </w:r>
      <w:r w:rsidR="0046365C">
        <w:rPr>
          <w:sz w:val="22"/>
          <w:szCs w:val="22"/>
        </w:rPr>
        <w:t xml:space="preserve"> tanto do estado fresco como no estado endurecido</w:t>
      </w:r>
      <w:r w:rsidR="00881AB9">
        <w:rPr>
          <w:sz w:val="22"/>
          <w:szCs w:val="22"/>
        </w:rPr>
        <w:t>.</w:t>
      </w:r>
      <w:r w:rsidR="000245F1">
        <w:rPr>
          <w:sz w:val="22"/>
          <w:szCs w:val="22"/>
        </w:rPr>
        <w:t xml:space="preserve"> </w:t>
      </w:r>
      <w:r w:rsidR="00881AB9">
        <w:rPr>
          <w:sz w:val="22"/>
          <w:szCs w:val="22"/>
        </w:rPr>
        <w:t>O</w:t>
      </w:r>
      <w:r w:rsidR="000245F1">
        <w:rPr>
          <w:sz w:val="22"/>
          <w:szCs w:val="22"/>
        </w:rPr>
        <w:t xml:space="preserve"> aumento do teor do material </w:t>
      </w:r>
      <w:r w:rsidR="00881AB9">
        <w:rPr>
          <w:sz w:val="22"/>
          <w:szCs w:val="22"/>
        </w:rPr>
        <w:t xml:space="preserve">nas misturas </w:t>
      </w:r>
      <w:r w:rsidR="000245F1">
        <w:rPr>
          <w:sz w:val="22"/>
          <w:szCs w:val="22"/>
        </w:rPr>
        <w:t>reduziu o abatimento de tronco de cone e a massa específica</w:t>
      </w:r>
      <w:r w:rsidR="00881AB9">
        <w:rPr>
          <w:sz w:val="22"/>
          <w:szCs w:val="22"/>
        </w:rPr>
        <w:t xml:space="preserve">, em relação ao concreto de referência. Já no estado endurecido, </w:t>
      </w:r>
      <w:r w:rsidR="00750142">
        <w:rPr>
          <w:sz w:val="22"/>
          <w:szCs w:val="22"/>
        </w:rPr>
        <w:t xml:space="preserve">enquanto o aumento do teor de pó de vidro aumentou a resistência </w:t>
      </w:r>
      <w:r w:rsidR="00873174">
        <w:rPr>
          <w:sz w:val="22"/>
          <w:szCs w:val="22"/>
        </w:rPr>
        <w:t>à compressão axial</w:t>
      </w:r>
      <w:r w:rsidR="002F22E4">
        <w:rPr>
          <w:sz w:val="22"/>
          <w:szCs w:val="22"/>
        </w:rPr>
        <w:t>, reduziu o módulo de elasticidade.</w:t>
      </w:r>
      <w:r w:rsidR="000245F1">
        <w:rPr>
          <w:sz w:val="22"/>
          <w:szCs w:val="22"/>
        </w:rPr>
        <w:t xml:space="preserve"> </w:t>
      </w:r>
      <w:r w:rsidR="0034476D" w:rsidRPr="001E30A9">
        <w:rPr>
          <w:sz w:val="22"/>
          <w:szCs w:val="22"/>
        </w:rPr>
        <w:t xml:space="preserve"> </w:t>
      </w:r>
    </w:p>
    <w:p w14:paraId="28866181" w14:textId="77777777" w:rsidR="0080138F" w:rsidRDefault="002F22E4" w:rsidP="15B9E4BA">
      <w:pPr>
        <w:ind w:right="-1"/>
        <w:jc w:val="both"/>
        <w:rPr>
          <w:sz w:val="22"/>
          <w:szCs w:val="22"/>
        </w:rPr>
      </w:pPr>
      <w:r>
        <w:rPr>
          <w:sz w:val="22"/>
          <w:szCs w:val="22"/>
        </w:rPr>
        <w:lastRenderedPageBreak/>
        <w:tab/>
      </w:r>
      <w:r w:rsidR="00D122C3">
        <w:rPr>
          <w:sz w:val="22"/>
          <w:szCs w:val="22"/>
        </w:rPr>
        <w:t>Pode-se concluir, portanto, que o pó de vidro seja um material com potencial para uso como agregado miúdo na</w:t>
      </w:r>
      <w:r w:rsidR="0015496D">
        <w:rPr>
          <w:sz w:val="22"/>
          <w:szCs w:val="22"/>
        </w:rPr>
        <w:t xml:space="preserve"> </w:t>
      </w:r>
      <w:r w:rsidR="00D122C3">
        <w:rPr>
          <w:sz w:val="22"/>
          <w:szCs w:val="22"/>
        </w:rPr>
        <w:t>produção de concretos</w:t>
      </w:r>
      <w:r w:rsidR="0001287B">
        <w:rPr>
          <w:sz w:val="22"/>
          <w:szCs w:val="22"/>
        </w:rPr>
        <w:t>. Todavia,</w:t>
      </w:r>
      <w:r w:rsidR="00D122C3">
        <w:rPr>
          <w:sz w:val="22"/>
          <w:szCs w:val="22"/>
        </w:rPr>
        <w:t xml:space="preserve"> </w:t>
      </w:r>
      <w:r w:rsidR="0001287B">
        <w:rPr>
          <w:sz w:val="22"/>
          <w:szCs w:val="22"/>
        </w:rPr>
        <w:t>é necessário</w:t>
      </w:r>
      <w:r w:rsidR="00D122C3">
        <w:rPr>
          <w:sz w:val="22"/>
          <w:szCs w:val="22"/>
        </w:rPr>
        <w:t xml:space="preserve"> ampliar as investigações sobre ele</w:t>
      </w:r>
      <w:r w:rsidR="0015496D">
        <w:rPr>
          <w:sz w:val="22"/>
          <w:szCs w:val="22"/>
        </w:rPr>
        <w:t xml:space="preserve">, </w:t>
      </w:r>
      <w:r w:rsidR="00384F24">
        <w:rPr>
          <w:sz w:val="22"/>
          <w:szCs w:val="22"/>
        </w:rPr>
        <w:t>especialmente quanto a aspectos de durabilidade</w:t>
      </w:r>
      <w:r w:rsidR="0080138F">
        <w:rPr>
          <w:sz w:val="22"/>
          <w:szCs w:val="22"/>
        </w:rPr>
        <w:t>.</w:t>
      </w:r>
      <w:r w:rsidR="0015496D">
        <w:rPr>
          <w:sz w:val="22"/>
          <w:szCs w:val="22"/>
        </w:rPr>
        <w:t xml:space="preserve"> </w:t>
      </w:r>
    </w:p>
    <w:p w14:paraId="715EE622" w14:textId="6A970D91" w:rsidR="002F22E4" w:rsidRDefault="0080138F" w:rsidP="002F22E4">
      <w:pPr>
        <w:tabs>
          <w:tab w:val="left" w:pos="0"/>
        </w:tabs>
        <w:ind w:right="-1"/>
        <w:jc w:val="both"/>
        <w:rPr>
          <w:sz w:val="22"/>
          <w:szCs w:val="22"/>
        </w:rPr>
      </w:pPr>
      <w:r>
        <w:rPr>
          <w:sz w:val="22"/>
          <w:szCs w:val="22"/>
        </w:rPr>
        <w:tab/>
        <w:t>S</w:t>
      </w:r>
      <w:r w:rsidR="0015496D">
        <w:rPr>
          <w:sz w:val="22"/>
          <w:szCs w:val="22"/>
        </w:rPr>
        <w:t>eu uso pode si</w:t>
      </w:r>
      <w:r w:rsidR="00444B72">
        <w:rPr>
          <w:sz w:val="22"/>
          <w:szCs w:val="22"/>
        </w:rPr>
        <w:t>gnificar</w:t>
      </w:r>
      <w:r w:rsidR="00D03113">
        <w:rPr>
          <w:sz w:val="22"/>
          <w:szCs w:val="22"/>
        </w:rPr>
        <w:t xml:space="preserve"> agregação de valor ao que hoje </w:t>
      </w:r>
      <w:r w:rsidR="00A72105">
        <w:rPr>
          <w:sz w:val="22"/>
          <w:szCs w:val="22"/>
        </w:rPr>
        <w:t xml:space="preserve">é descartado e </w:t>
      </w:r>
      <w:r w:rsidR="00444B72">
        <w:rPr>
          <w:sz w:val="22"/>
          <w:szCs w:val="22"/>
        </w:rPr>
        <w:t>redução de impacto ambiental</w:t>
      </w:r>
      <w:r w:rsidR="00A72105">
        <w:rPr>
          <w:sz w:val="22"/>
          <w:szCs w:val="22"/>
        </w:rPr>
        <w:t>,</w:t>
      </w:r>
      <w:r w:rsidR="00444B72">
        <w:rPr>
          <w:sz w:val="22"/>
          <w:szCs w:val="22"/>
        </w:rPr>
        <w:t xml:space="preserve"> tanto para a geradora</w:t>
      </w:r>
      <w:r w:rsidR="00715DFE">
        <w:rPr>
          <w:sz w:val="22"/>
          <w:szCs w:val="22"/>
        </w:rPr>
        <w:t>, que deixa de enviá-lo a aterros para descarte, quanto para a construção civil, que pode reduzir a extração e uso de matéria-prima virgem em seus produtos.</w:t>
      </w:r>
    </w:p>
    <w:p w14:paraId="3F53A5EC" w14:textId="77777777" w:rsidR="00E74C1E" w:rsidRPr="00437A35" w:rsidRDefault="00E74C1E" w:rsidP="00380272">
      <w:pPr>
        <w:autoSpaceDE w:val="0"/>
        <w:autoSpaceDN w:val="0"/>
        <w:adjustRightInd w:val="0"/>
        <w:jc w:val="both"/>
        <w:rPr>
          <w:rFonts w:eastAsia="Calibri"/>
          <w:sz w:val="22"/>
          <w:szCs w:val="22"/>
        </w:rPr>
      </w:pPr>
    </w:p>
    <w:p w14:paraId="07111F96" w14:textId="77777777" w:rsidR="00E74C1E" w:rsidRPr="00437A35" w:rsidRDefault="3E2B6792" w:rsidP="00380272">
      <w:pPr>
        <w:pStyle w:val="TextosemFormatao"/>
        <w:spacing w:beforeAutospacing="0" w:afterAutospacing="0"/>
        <w:rPr>
          <w:rFonts w:ascii="Times New Roman" w:hAnsi="Times New Roman"/>
          <w:b/>
          <w:sz w:val="22"/>
          <w:szCs w:val="22"/>
          <w:lang w:val="pt-BR"/>
        </w:rPr>
      </w:pPr>
      <w:r w:rsidRPr="3E2B6792">
        <w:rPr>
          <w:rFonts w:ascii="Times New Roman" w:hAnsi="Times New Roman"/>
          <w:b/>
          <w:bCs/>
          <w:sz w:val="22"/>
          <w:szCs w:val="22"/>
          <w:lang w:val="pt-BR"/>
        </w:rPr>
        <w:t xml:space="preserve">REFERÊNCIAS </w:t>
      </w:r>
    </w:p>
    <w:p w14:paraId="1F167852" w14:textId="6533417B" w:rsidR="00FB1C77" w:rsidRDefault="0072563A" w:rsidP="3E2B6792">
      <w:pPr>
        <w:pStyle w:val="Default"/>
        <w:ind w:left="284" w:hanging="284"/>
        <w:jc w:val="both"/>
        <w:rPr>
          <w:rFonts w:eastAsia="Calibri"/>
          <w:sz w:val="22"/>
          <w:szCs w:val="22"/>
        </w:rPr>
      </w:pPr>
      <w:r w:rsidRPr="0072563A">
        <w:rPr>
          <w:rFonts w:eastAsia="Calibri"/>
          <w:sz w:val="22"/>
          <w:szCs w:val="22"/>
        </w:rPr>
        <w:t>ASSOCIAÇÃO BRASILEIRA DE NORMAS TÉCNICAS. NBR NM 67: Concreto - Determinação da consistência pelo abatimento do tronco de cone. Rio de Janeiro, 1998.</w:t>
      </w:r>
    </w:p>
    <w:p w14:paraId="48F86373" w14:textId="35C3440D" w:rsidR="004209F4" w:rsidRPr="004209F4" w:rsidRDefault="3E2B6792" w:rsidP="3E2B6792">
      <w:pPr>
        <w:pStyle w:val="Default"/>
        <w:ind w:left="284" w:hanging="284"/>
        <w:jc w:val="both"/>
        <w:rPr>
          <w:rFonts w:eastAsia="Calibri"/>
          <w:sz w:val="22"/>
          <w:szCs w:val="22"/>
        </w:rPr>
      </w:pPr>
      <w:r w:rsidRPr="3E2B6792">
        <w:rPr>
          <w:rFonts w:eastAsia="Calibri"/>
          <w:sz w:val="22"/>
          <w:szCs w:val="22"/>
        </w:rPr>
        <w:t>ASSOCIAÇÃO BRASILEIRA DE NORMAS TÉCNICAS. NBR 5738: Concreto – Procedimento para moldagem e cura de corpos de prova. Rio de Janeiro, 2016.</w:t>
      </w:r>
    </w:p>
    <w:p w14:paraId="458D5CFF" w14:textId="7EA00774" w:rsidR="004209F4" w:rsidRPr="004209F4" w:rsidRDefault="3E2B6792" w:rsidP="3E2B6792">
      <w:pPr>
        <w:pStyle w:val="Default"/>
        <w:ind w:left="284" w:hanging="284"/>
        <w:jc w:val="both"/>
        <w:rPr>
          <w:rFonts w:eastAsia="Calibri"/>
          <w:sz w:val="22"/>
          <w:szCs w:val="22"/>
        </w:rPr>
      </w:pPr>
      <w:r w:rsidRPr="3E2B6792">
        <w:rPr>
          <w:rFonts w:eastAsia="Calibri"/>
          <w:sz w:val="22"/>
          <w:szCs w:val="22"/>
        </w:rPr>
        <w:t>ASSOCIAÇÃO BRASILEIRA DE NORMAS TÉCNICAS. NBR 5739: Concreto – Ensaio de compressão de corpos de prova cilíndricos. Rio de Janeiro, 2018.</w:t>
      </w:r>
    </w:p>
    <w:p w14:paraId="09816662" w14:textId="1D696A4C" w:rsidR="004209F4" w:rsidRPr="004209F4" w:rsidRDefault="3E2B6792" w:rsidP="3E2B6792">
      <w:pPr>
        <w:pStyle w:val="Default"/>
        <w:ind w:left="284" w:hanging="284"/>
        <w:jc w:val="both"/>
        <w:rPr>
          <w:rFonts w:eastAsia="Calibri"/>
          <w:sz w:val="22"/>
          <w:szCs w:val="22"/>
        </w:rPr>
      </w:pPr>
      <w:r w:rsidRPr="3E2B6792">
        <w:rPr>
          <w:rFonts w:eastAsia="Calibri"/>
          <w:sz w:val="22"/>
          <w:szCs w:val="22"/>
        </w:rPr>
        <w:t>ASSOCIAÇÃO BRASILEIRA DE NORMAS TÉCNICAS. NBR 7211: Agregados para concreto – Especificação. Rio de Janeiro. 20</w:t>
      </w:r>
      <w:r w:rsidR="00F15AAC">
        <w:rPr>
          <w:rFonts w:eastAsia="Calibri"/>
          <w:sz w:val="22"/>
          <w:szCs w:val="22"/>
        </w:rPr>
        <w:t>22</w:t>
      </w:r>
      <w:r w:rsidRPr="3E2B6792">
        <w:rPr>
          <w:rFonts w:eastAsia="Calibri"/>
          <w:sz w:val="22"/>
          <w:szCs w:val="22"/>
        </w:rPr>
        <w:t>.</w:t>
      </w:r>
    </w:p>
    <w:p w14:paraId="64B04DBF" w14:textId="449D8040" w:rsidR="004209F4" w:rsidRPr="004209F4" w:rsidRDefault="3E2B6792" w:rsidP="3E2B6792">
      <w:pPr>
        <w:pStyle w:val="Default"/>
        <w:ind w:left="284" w:hanging="284"/>
        <w:jc w:val="both"/>
        <w:rPr>
          <w:rFonts w:eastAsia="Calibri"/>
          <w:sz w:val="22"/>
          <w:szCs w:val="22"/>
        </w:rPr>
      </w:pPr>
      <w:r w:rsidRPr="3E2B6792">
        <w:rPr>
          <w:rFonts w:eastAsia="Calibri"/>
          <w:sz w:val="22"/>
          <w:szCs w:val="22"/>
        </w:rPr>
        <w:t>ASSOCIAÇÃO BRASILEIRA DE NORMAS TÉCNICAS. NBR 7222: Concreto e argamassa – Determinação da resistência à tração por compressão diametral de corpos de prova cilíndricos. Rio de Janeiro. 2011.</w:t>
      </w:r>
    </w:p>
    <w:p w14:paraId="5A83C73B" w14:textId="0C940562" w:rsidR="004209F4" w:rsidRPr="004209F4" w:rsidRDefault="3E2B6792" w:rsidP="3E2B6792">
      <w:pPr>
        <w:pStyle w:val="Default"/>
        <w:ind w:left="284" w:hanging="284"/>
        <w:jc w:val="both"/>
        <w:rPr>
          <w:rFonts w:eastAsia="Calibri"/>
          <w:sz w:val="22"/>
          <w:szCs w:val="22"/>
        </w:rPr>
      </w:pPr>
      <w:r w:rsidRPr="3E2B6792">
        <w:rPr>
          <w:rFonts w:eastAsia="Calibri"/>
          <w:sz w:val="22"/>
          <w:szCs w:val="22"/>
        </w:rPr>
        <w:t>ASSOCIAÇÃO BRASILEIRA DE NORMAS TÉCNICAS. NBR 8522: Concreto – Determinação do módulo estático de elasticidade à compressão. Rio de Janeiro, 2021.</w:t>
      </w:r>
    </w:p>
    <w:p w14:paraId="7A6C72AB" w14:textId="20F0F18F" w:rsidR="004209F4" w:rsidRDefault="3E2B6792" w:rsidP="3E2B6792">
      <w:pPr>
        <w:pStyle w:val="Default"/>
        <w:ind w:left="284" w:hanging="284"/>
        <w:jc w:val="both"/>
        <w:rPr>
          <w:rFonts w:eastAsia="Calibri"/>
          <w:sz w:val="22"/>
          <w:szCs w:val="22"/>
        </w:rPr>
      </w:pPr>
      <w:r w:rsidRPr="3E2B6792">
        <w:rPr>
          <w:rFonts w:eastAsia="Calibri"/>
          <w:sz w:val="22"/>
          <w:szCs w:val="22"/>
        </w:rPr>
        <w:t>ASSOCIAÇÃO BRASILEIRA DE NORMAS TÉCNICAS. NBR 9779: Argamassa e concreto endurecidos – Determinação da absorção de água por capilaridade. Rio de Janeiro, 2012.</w:t>
      </w:r>
    </w:p>
    <w:p w14:paraId="712B6BE5" w14:textId="40205C29" w:rsidR="003A2F6E" w:rsidRPr="004209F4" w:rsidRDefault="003A2F6E" w:rsidP="3E2B6792">
      <w:pPr>
        <w:pStyle w:val="Default"/>
        <w:ind w:left="284" w:hanging="284"/>
        <w:jc w:val="both"/>
        <w:rPr>
          <w:rFonts w:eastAsia="Calibri"/>
          <w:sz w:val="22"/>
          <w:szCs w:val="22"/>
        </w:rPr>
      </w:pPr>
      <w:r w:rsidRPr="003A2F6E">
        <w:rPr>
          <w:rFonts w:eastAsia="Calibri"/>
          <w:sz w:val="22"/>
          <w:szCs w:val="22"/>
        </w:rPr>
        <w:t>ASSOCIAÇÃO BRASILEIRA DE NORMAS TÉCNICAS. NBR 9833: Concreto fresco – Determinação da massa específica e do teor de ar pelo método gravimétrico. Rio de Janeiro, 2008.</w:t>
      </w:r>
    </w:p>
    <w:p w14:paraId="5B765532" w14:textId="08BBD190" w:rsidR="00F225BD" w:rsidRPr="00E168EE" w:rsidRDefault="00F225BD" w:rsidP="00F225BD">
      <w:pPr>
        <w:pStyle w:val="Default"/>
        <w:ind w:left="284" w:hanging="284"/>
        <w:jc w:val="both"/>
        <w:rPr>
          <w:rFonts w:eastAsia="Calibri"/>
          <w:sz w:val="22"/>
          <w:szCs w:val="22"/>
        </w:rPr>
      </w:pPr>
      <w:r w:rsidRPr="00E168EE">
        <w:rPr>
          <w:rFonts w:eastAsia="Calibri"/>
          <w:sz w:val="22"/>
          <w:szCs w:val="22"/>
        </w:rPr>
        <w:t>MARQUES, Eva. O que é o vidro? Disponível em: </w:t>
      </w:r>
      <w:hyperlink r:id="rId12" w:history="1">
        <w:r w:rsidRPr="00E168EE">
          <w:rPr>
            <w:rFonts w:eastAsia="Calibri"/>
            <w:sz w:val="22"/>
            <w:szCs w:val="22"/>
          </w:rPr>
          <w:t>http://oficina.cienciaviva.pt/~pw054/vidro/Oqueeovidro.htm</w:t>
        </w:r>
      </w:hyperlink>
      <w:r w:rsidRPr="00E168EE">
        <w:rPr>
          <w:rFonts w:eastAsia="Calibri"/>
          <w:sz w:val="22"/>
          <w:szCs w:val="22"/>
        </w:rPr>
        <w:t>. Acesso em: 30 set. 2012.</w:t>
      </w:r>
    </w:p>
    <w:p w14:paraId="28632907" w14:textId="160BE3B7" w:rsidR="00277542" w:rsidRPr="00F225BD" w:rsidRDefault="00277542" w:rsidP="00F225BD">
      <w:pPr>
        <w:pStyle w:val="Default"/>
        <w:ind w:left="284" w:hanging="284"/>
        <w:jc w:val="both"/>
        <w:rPr>
          <w:rFonts w:eastAsia="Calibri"/>
          <w:sz w:val="22"/>
          <w:szCs w:val="22"/>
        </w:rPr>
      </w:pPr>
      <w:r w:rsidRPr="00277542">
        <w:rPr>
          <w:rFonts w:eastAsia="Calibri"/>
          <w:sz w:val="22"/>
          <w:szCs w:val="22"/>
        </w:rPr>
        <w:t xml:space="preserve">MEHTA, P. K.; MONTEIRO, P. J. M. Concreto: Microestrutura, propriedades e materiais. 2. ed. São Paulo: </w:t>
      </w:r>
      <w:proofErr w:type="spellStart"/>
      <w:r w:rsidRPr="00277542">
        <w:rPr>
          <w:rFonts w:eastAsia="Calibri"/>
          <w:sz w:val="22"/>
          <w:szCs w:val="22"/>
        </w:rPr>
        <w:t>Pini</w:t>
      </w:r>
      <w:proofErr w:type="spellEnd"/>
      <w:r w:rsidRPr="00277542">
        <w:rPr>
          <w:rFonts w:eastAsia="Calibri"/>
          <w:sz w:val="22"/>
          <w:szCs w:val="22"/>
        </w:rPr>
        <w:t>, 2014. 751 p.</w:t>
      </w:r>
    </w:p>
    <w:p w14:paraId="548A37BA" w14:textId="79F2D8FD" w:rsidR="004209F4" w:rsidRDefault="3E2B6792" w:rsidP="3E2B6792">
      <w:pPr>
        <w:pStyle w:val="Default"/>
        <w:ind w:left="284" w:hanging="284"/>
        <w:jc w:val="both"/>
        <w:rPr>
          <w:rFonts w:eastAsia="Calibri"/>
          <w:sz w:val="22"/>
          <w:szCs w:val="22"/>
        </w:rPr>
      </w:pPr>
      <w:r w:rsidRPr="3E2B6792">
        <w:rPr>
          <w:rFonts w:eastAsia="Calibri"/>
          <w:sz w:val="22"/>
          <w:szCs w:val="22"/>
        </w:rPr>
        <w:t>NANNI, L. F. Análise estatística de dados com uso de técnicas computacionais. 1986. Curso de Pós-graduação em Engenharia Civil, Universidade Federal do Rio Grande do Sul, Porto Alegre, 1986.</w:t>
      </w:r>
    </w:p>
    <w:p w14:paraId="747B4B8E" w14:textId="6E628A30" w:rsidR="00FA53F7" w:rsidRPr="00E168EE" w:rsidRDefault="00FA53F7" w:rsidP="3E2B6792">
      <w:pPr>
        <w:pStyle w:val="Default"/>
        <w:ind w:left="284" w:hanging="284"/>
        <w:jc w:val="both"/>
        <w:rPr>
          <w:rFonts w:eastAsia="Calibri"/>
          <w:sz w:val="22"/>
          <w:szCs w:val="22"/>
          <w:lang w:val="en-US"/>
        </w:rPr>
      </w:pPr>
      <w:r w:rsidRPr="00FA53F7">
        <w:rPr>
          <w:rFonts w:eastAsia="Calibri"/>
          <w:sz w:val="22"/>
          <w:szCs w:val="22"/>
        </w:rPr>
        <w:t xml:space="preserve">PORQUE O VIDRO é a melhor opção para reciclar. ABIVIDRO, [2021?]. E-Book. Disponível em: https://epuroevidro.com/conhecimento/. </w:t>
      </w:r>
      <w:proofErr w:type="spellStart"/>
      <w:r w:rsidRPr="00E168EE">
        <w:rPr>
          <w:rFonts w:eastAsia="Calibri"/>
          <w:sz w:val="22"/>
          <w:szCs w:val="22"/>
          <w:lang w:val="en-US"/>
        </w:rPr>
        <w:t>Acesso</w:t>
      </w:r>
      <w:proofErr w:type="spellEnd"/>
      <w:r w:rsidRPr="00E168EE">
        <w:rPr>
          <w:rFonts w:eastAsia="Calibri"/>
          <w:sz w:val="22"/>
          <w:szCs w:val="22"/>
          <w:lang w:val="en-US"/>
        </w:rPr>
        <w:t xml:space="preserve"> </w:t>
      </w:r>
      <w:proofErr w:type="spellStart"/>
      <w:r w:rsidRPr="00E168EE">
        <w:rPr>
          <w:rFonts w:eastAsia="Calibri"/>
          <w:sz w:val="22"/>
          <w:szCs w:val="22"/>
          <w:lang w:val="en-US"/>
        </w:rPr>
        <w:t>em</w:t>
      </w:r>
      <w:proofErr w:type="spellEnd"/>
      <w:r w:rsidRPr="00E168EE">
        <w:rPr>
          <w:rFonts w:eastAsia="Calibri"/>
          <w:sz w:val="22"/>
          <w:szCs w:val="22"/>
          <w:lang w:val="en-US"/>
        </w:rPr>
        <w:t>: 24 jun. 2023.</w:t>
      </w:r>
    </w:p>
    <w:p w14:paraId="09DE3560" w14:textId="77777777" w:rsidR="00F225BD" w:rsidRDefault="3E2B6792" w:rsidP="00F225BD">
      <w:pPr>
        <w:pStyle w:val="Default"/>
        <w:ind w:left="284" w:hanging="284"/>
        <w:jc w:val="both"/>
        <w:rPr>
          <w:rFonts w:eastAsia="Calibri"/>
          <w:sz w:val="22"/>
          <w:szCs w:val="22"/>
        </w:rPr>
      </w:pPr>
      <w:r w:rsidRPr="3E2B6792">
        <w:rPr>
          <w:rFonts w:eastAsia="Calibri"/>
          <w:sz w:val="22"/>
          <w:szCs w:val="22"/>
          <w:lang w:val="en-US"/>
        </w:rPr>
        <w:t xml:space="preserve">TAMANNA, </w:t>
      </w:r>
      <w:proofErr w:type="spellStart"/>
      <w:r w:rsidRPr="3E2B6792">
        <w:rPr>
          <w:rFonts w:eastAsia="Calibri"/>
          <w:sz w:val="22"/>
          <w:szCs w:val="22"/>
          <w:lang w:val="en-US"/>
        </w:rPr>
        <w:t>Nafisa</w:t>
      </w:r>
      <w:proofErr w:type="spellEnd"/>
      <w:r w:rsidRPr="3E2B6792">
        <w:rPr>
          <w:rFonts w:eastAsia="Calibri"/>
          <w:sz w:val="22"/>
          <w:szCs w:val="22"/>
          <w:lang w:val="en-US"/>
        </w:rPr>
        <w:t> et al. Performance of recycled waste glass sand as partial replacement of sand in concrete. Construction and Building Materials. </w:t>
      </w:r>
      <w:proofErr w:type="spellStart"/>
      <w:r w:rsidRPr="3E2B6792">
        <w:rPr>
          <w:rFonts w:eastAsia="Calibri"/>
          <w:sz w:val="22"/>
          <w:szCs w:val="22"/>
          <w:lang w:val="en-US"/>
        </w:rPr>
        <w:t>Londres</w:t>
      </w:r>
      <w:proofErr w:type="spellEnd"/>
      <w:r w:rsidRPr="3E2B6792">
        <w:rPr>
          <w:rFonts w:eastAsia="Calibri"/>
          <w:sz w:val="22"/>
          <w:szCs w:val="22"/>
          <w:lang w:val="en-US"/>
        </w:rPr>
        <w:t xml:space="preserve">. 10 abr. 2020. </w:t>
      </w:r>
      <w:proofErr w:type="spellStart"/>
      <w:r w:rsidRPr="3E2B6792">
        <w:rPr>
          <w:rFonts w:eastAsia="Calibri"/>
          <w:sz w:val="22"/>
          <w:szCs w:val="22"/>
          <w:lang w:val="en-US"/>
        </w:rPr>
        <w:t>Disponível</w:t>
      </w:r>
      <w:proofErr w:type="spellEnd"/>
      <w:r w:rsidRPr="3E2B6792">
        <w:rPr>
          <w:rFonts w:eastAsia="Calibri"/>
          <w:sz w:val="22"/>
          <w:szCs w:val="22"/>
          <w:lang w:val="en-US"/>
        </w:rPr>
        <w:t xml:space="preserve"> </w:t>
      </w:r>
      <w:proofErr w:type="spellStart"/>
      <w:r w:rsidRPr="3E2B6792">
        <w:rPr>
          <w:rFonts w:eastAsia="Calibri"/>
          <w:sz w:val="22"/>
          <w:szCs w:val="22"/>
          <w:lang w:val="en-US"/>
        </w:rPr>
        <w:t>em</w:t>
      </w:r>
      <w:proofErr w:type="spellEnd"/>
      <w:r w:rsidRPr="3E2B6792">
        <w:rPr>
          <w:rFonts w:eastAsia="Calibri"/>
          <w:sz w:val="22"/>
          <w:szCs w:val="22"/>
          <w:lang w:val="en-US"/>
        </w:rPr>
        <w:t xml:space="preserve">: </w:t>
      </w:r>
      <w:hyperlink r:id="rId13">
        <w:r w:rsidRPr="3E2B6792">
          <w:rPr>
            <w:rFonts w:eastAsia="Calibri"/>
            <w:sz w:val="22"/>
            <w:szCs w:val="22"/>
            <w:lang w:val="en-US"/>
          </w:rPr>
          <w:t>https://doi.org/10.1016/j.conbuildmat.2019.117804</w:t>
        </w:r>
      </w:hyperlink>
      <w:r w:rsidRPr="3E2B6792">
        <w:rPr>
          <w:rFonts w:eastAsia="Calibri"/>
          <w:sz w:val="22"/>
          <w:szCs w:val="22"/>
          <w:lang w:val="en-US"/>
        </w:rPr>
        <w:t xml:space="preserve">. </w:t>
      </w:r>
      <w:r w:rsidRPr="3E2B6792">
        <w:rPr>
          <w:rFonts w:eastAsia="Calibri"/>
          <w:sz w:val="22"/>
          <w:szCs w:val="22"/>
        </w:rPr>
        <w:t>Acesso em: 01 out. 2022.</w:t>
      </w:r>
    </w:p>
    <w:p w14:paraId="02A518A1" w14:textId="0B19877F" w:rsidR="004209F4" w:rsidRPr="00F225BD" w:rsidRDefault="004209F4" w:rsidP="00F225BD">
      <w:pPr>
        <w:pStyle w:val="Default"/>
        <w:ind w:left="284" w:hanging="284"/>
        <w:jc w:val="both"/>
        <w:rPr>
          <w:rFonts w:eastAsia="Calibri"/>
          <w:sz w:val="22"/>
          <w:szCs w:val="22"/>
        </w:rPr>
      </w:pPr>
    </w:p>
    <w:sectPr w:rsidR="004209F4" w:rsidRPr="00F225BD" w:rsidSect="006239A5">
      <w:headerReference w:type="default" r:id="rId14"/>
      <w:footerReference w:type="default" r:id="rId15"/>
      <w:headerReference w:type="first" r:id="rId16"/>
      <w:footerReference w:type="first" r:id="rId17"/>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198F" w14:textId="77777777" w:rsidR="007B3396" w:rsidRDefault="007B3396">
      <w:r>
        <w:separator/>
      </w:r>
    </w:p>
  </w:endnote>
  <w:endnote w:type="continuationSeparator" w:id="0">
    <w:p w14:paraId="2C61A62D" w14:textId="77777777" w:rsidR="007B3396" w:rsidRDefault="007B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481"/>
      <w:gridCol w:w="5590"/>
    </w:tblGrid>
    <w:tr w:rsidR="00691D2C" w14:paraId="1DB89CC5" w14:textId="77777777" w:rsidTr="007010AA">
      <w:trPr>
        <w:trHeight w:val="849"/>
      </w:trPr>
      <w:tc>
        <w:tcPr>
          <w:tcW w:w="4605" w:type="dxa"/>
          <w:shd w:val="clear" w:color="auto" w:fill="auto"/>
          <w:vAlign w:val="center"/>
        </w:tcPr>
        <w:p w14:paraId="7D5FA095" w14:textId="7393E3F7" w:rsidR="00691D2C" w:rsidRDefault="00720588" w:rsidP="007010AA">
          <w:pPr>
            <w:pStyle w:val="Rodap"/>
            <w:jc w:val="center"/>
          </w:pPr>
          <w:r>
            <w:rPr>
              <w:noProof/>
            </w:rPr>
            <w:drawing>
              <wp:inline distT="0" distB="0" distL="0" distR="0" wp14:anchorId="43245E1E" wp14:editId="125F7839">
                <wp:extent cx="2152650" cy="447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58A06E69" w14:textId="2C61049F" w:rsidR="00691D2C" w:rsidRDefault="00720588" w:rsidP="007010AA">
          <w:pPr>
            <w:pStyle w:val="Rodap"/>
            <w:jc w:val="center"/>
          </w:pPr>
          <w:r>
            <w:rPr>
              <w:noProof/>
            </w:rPr>
            <w:drawing>
              <wp:inline distT="0" distB="0" distL="0" distR="0" wp14:anchorId="653B7452" wp14:editId="00893FCB">
                <wp:extent cx="3543300"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4E62F740"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481"/>
      <w:gridCol w:w="5590"/>
    </w:tblGrid>
    <w:tr w:rsidR="00691D2C" w14:paraId="551C809F" w14:textId="77777777" w:rsidTr="007010AA">
      <w:trPr>
        <w:trHeight w:val="849"/>
      </w:trPr>
      <w:tc>
        <w:tcPr>
          <w:tcW w:w="4605" w:type="dxa"/>
          <w:shd w:val="clear" w:color="auto" w:fill="auto"/>
          <w:vAlign w:val="center"/>
        </w:tcPr>
        <w:p w14:paraId="40A99674" w14:textId="230BA065" w:rsidR="00691D2C" w:rsidRDefault="00720588" w:rsidP="007010AA">
          <w:pPr>
            <w:pStyle w:val="Rodap"/>
            <w:jc w:val="center"/>
          </w:pPr>
          <w:r>
            <w:rPr>
              <w:noProof/>
            </w:rPr>
            <w:drawing>
              <wp:inline distT="0" distB="0" distL="0" distR="0" wp14:anchorId="1DE41978" wp14:editId="15DB8F0D">
                <wp:extent cx="2152650" cy="4476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44FDBBDA" w14:textId="6DAE5980" w:rsidR="00691D2C" w:rsidRDefault="00720588" w:rsidP="007010AA">
          <w:pPr>
            <w:pStyle w:val="Rodap"/>
            <w:jc w:val="center"/>
          </w:pPr>
          <w:r>
            <w:rPr>
              <w:noProof/>
            </w:rPr>
            <w:drawing>
              <wp:inline distT="0" distB="0" distL="0" distR="0" wp14:anchorId="52B1D11B" wp14:editId="0BF268E2">
                <wp:extent cx="3543300" cy="3333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417F3937"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4625" w14:textId="77777777" w:rsidR="007B3396" w:rsidRDefault="007B3396">
      <w:r>
        <w:separator/>
      </w:r>
    </w:p>
  </w:footnote>
  <w:footnote w:type="continuationSeparator" w:id="0">
    <w:p w14:paraId="11C3AE9A" w14:textId="77777777" w:rsidR="007B3396" w:rsidRDefault="007B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B585" w14:textId="018E79B6" w:rsidR="00691D2C" w:rsidRDefault="00720588" w:rsidP="00691D2C">
    <w:pPr>
      <w:pStyle w:val="Cabealho"/>
      <w:jc w:val="center"/>
    </w:pPr>
    <w:r>
      <w:rPr>
        <w:noProof/>
      </w:rPr>
      <w:drawing>
        <wp:inline distT="0" distB="0" distL="0" distR="0" wp14:anchorId="542FA6F1" wp14:editId="5CBAB3BE">
          <wp:extent cx="3629025"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F7D64E4"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04F1" w14:textId="0D9D5451" w:rsidR="000E5C33" w:rsidRDefault="00720588" w:rsidP="00691D2C">
    <w:pPr>
      <w:pStyle w:val="Cabealho"/>
      <w:jc w:val="center"/>
    </w:pPr>
    <w:r>
      <w:rPr>
        <w:noProof/>
      </w:rPr>
      <w:drawing>
        <wp:inline distT="0" distB="0" distL="0" distR="0" wp14:anchorId="34EA5C4F" wp14:editId="6BA0A9C1">
          <wp:extent cx="3629025"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0E8D6E17"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287B"/>
    <w:rsid w:val="000133E2"/>
    <w:rsid w:val="00015B60"/>
    <w:rsid w:val="00020CBE"/>
    <w:rsid w:val="00022D0B"/>
    <w:rsid w:val="000245F1"/>
    <w:rsid w:val="0002674A"/>
    <w:rsid w:val="00030F47"/>
    <w:rsid w:val="00031AA0"/>
    <w:rsid w:val="00031C22"/>
    <w:rsid w:val="00031C75"/>
    <w:rsid w:val="00045DEB"/>
    <w:rsid w:val="00046884"/>
    <w:rsid w:val="0005714A"/>
    <w:rsid w:val="000611A5"/>
    <w:rsid w:val="00063390"/>
    <w:rsid w:val="0006391F"/>
    <w:rsid w:val="00064CB9"/>
    <w:rsid w:val="000665C4"/>
    <w:rsid w:val="00070E96"/>
    <w:rsid w:val="000807C9"/>
    <w:rsid w:val="0008184E"/>
    <w:rsid w:val="000840A3"/>
    <w:rsid w:val="000B0828"/>
    <w:rsid w:val="000B2226"/>
    <w:rsid w:val="000B68FC"/>
    <w:rsid w:val="000B6B96"/>
    <w:rsid w:val="000D0CA6"/>
    <w:rsid w:val="000D3765"/>
    <w:rsid w:val="000D387B"/>
    <w:rsid w:val="000D4A70"/>
    <w:rsid w:val="000D5423"/>
    <w:rsid w:val="000E078A"/>
    <w:rsid w:val="000E5C33"/>
    <w:rsid w:val="000F16C5"/>
    <w:rsid w:val="000F22D6"/>
    <w:rsid w:val="000F2346"/>
    <w:rsid w:val="000F294D"/>
    <w:rsid w:val="001003ED"/>
    <w:rsid w:val="00102D6D"/>
    <w:rsid w:val="00103D6C"/>
    <w:rsid w:val="001045BA"/>
    <w:rsid w:val="00104813"/>
    <w:rsid w:val="00105668"/>
    <w:rsid w:val="00105C9B"/>
    <w:rsid w:val="0011093A"/>
    <w:rsid w:val="00110CA0"/>
    <w:rsid w:val="00111469"/>
    <w:rsid w:val="00113EC9"/>
    <w:rsid w:val="00120B27"/>
    <w:rsid w:val="0012528B"/>
    <w:rsid w:val="0012588F"/>
    <w:rsid w:val="00135E02"/>
    <w:rsid w:val="0013606C"/>
    <w:rsid w:val="0015496D"/>
    <w:rsid w:val="001549BA"/>
    <w:rsid w:val="00160224"/>
    <w:rsid w:val="00160C42"/>
    <w:rsid w:val="00162A59"/>
    <w:rsid w:val="00165F2A"/>
    <w:rsid w:val="00171D1E"/>
    <w:rsid w:val="0017235A"/>
    <w:rsid w:val="00173A2D"/>
    <w:rsid w:val="001751BC"/>
    <w:rsid w:val="001808CA"/>
    <w:rsid w:val="00180C1A"/>
    <w:rsid w:val="001813B6"/>
    <w:rsid w:val="00183167"/>
    <w:rsid w:val="001848FA"/>
    <w:rsid w:val="00187485"/>
    <w:rsid w:val="00187604"/>
    <w:rsid w:val="001901C1"/>
    <w:rsid w:val="001A107C"/>
    <w:rsid w:val="001A22CB"/>
    <w:rsid w:val="001A5BA0"/>
    <w:rsid w:val="001A77CC"/>
    <w:rsid w:val="001A7888"/>
    <w:rsid w:val="001B0846"/>
    <w:rsid w:val="001B0BDB"/>
    <w:rsid w:val="001B2DD6"/>
    <w:rsid w:val="001B4FCE"/>
    <w:rsid w:val="001B5B60"/>
    <w:rsid w:val="001B65A5"/>
    <w:rsid w:val="001B7ADB"/>
    <w:rsid w:val="001C3107"/>
    <w:rsid w:val="001C696E"/>
    <w:rsid w:val="001C72BE"/>
    <w:rsid w:val="001C7930"/>
    <w:rsid w:val="001D0B21"/>
    <w:rsid w:val="001D0FF4"/>
    <w:rsid w:val="001D196B"/>
    <w:rsid w:val="001E2B04"/>
    <w:rsid w:val="001E30A9"/>
    <w:rsid w:val="001E6C02"/>
    <w:rsid w:val="001E78BA"/>
    <w:rsid w:val="001F074C"/>
    <w:rsid w:val="001F1C78"/>
    <w:rsid w:val="001F67D9"/>
    <w:rsid w:val="0020459D"/>
    <w:rsid w:val="0020696C"/>
    <w:rsid w:val="002074D6"/>
    <w:rsid w:val="002115F3"/>
    <w:rsid w:val="00211A1D"/>
    <w:rsid w:val="00215271"/>
    <w:rsid w:val="00215368"/>
    <w:rsid w:val="00215B04"/>
    <w:rsid w:val="00217832"/>
    <w:rsid w:val="00230277"/>
    <w:rsid w:val="00233779"/>
    <w:rsid w:val="00235CCC"/>
    <w:rsid w:val="00236D72"/>
    <w:rsid w:val="002435AB"/>
    <w:rsid w:val="00246D65"/>
    <w:rsid w:val="00247E16"/>
    <w:rsid w:val="00252D33"/>
    <w:rsid w:val="002549A2"/>
    <w:rsid w:val="00263D21"/>
    <w:rsid w:val="002670E6"/>
    <w:rsid w:val="0026715B"/>
    <w:rsid w:val="00272C04"/>
    <w:rsid w:val="002768AB"/>
    <w:rsid w:val="00277542"/>
    <w:rsid w:val="00280C84"/>
    <w:rsid w:val="00280E2A"/>
    <w:rsid w:val="00282A04"/>
    <w:rsid w:val="00282CF3"/>
    <w:rsid w:val="002863B2"/>
    <w:rsid w:val="00290A16"/>
    <w:rsid w:val="00291127"/>
    <w:rsid w:val="0029461D"/>
    <w:rsid w:val="00295380"/>
    <w:rsid w:val="0029578C"/>
    <w:rsid w:val="002A5867"/>
    <w:rsid w:val="002A691F"/>
    <w:rsid w:val="002A70F7"/>
    <w:rsid w:val="002B215D"/>
    <w:rsid w:val="002B2EBF"/>
    <w:rsid w:val="002B4FA8"/>
    <w:rsid w:val="002C043A"/>
    <w:rsid w:val="002C15A4"/>
    <w:rsid w:val="002C3529"/>
    <w:rsid w:val="002C53B9"/>
    <w:rsid w:val="002D3DE5"/>
    <w:rsid w:val="002D3E20"/>
    <w:rsid w:val="002D4D50"/>
    <w:rsid w:val="002D7202"/>
    <w:rsid w:val="002E1BEA"/>
    <w:rsid w:val="002E56F6"/>
    <w:rsid w:val="002F122F"/>
    <w:rsid w:val="002F22E4"/>
    <w:rsid w:val="00304210"/>
    <w:rsid w:val="00304ACD"/>
    <w:rsid w:val="003129A0"/>
    <w:rsid w:val="003151E7"/>
    <w:rsid w:val="00321987"/>
    <w:rsid w:val="00335571"/>
    <w:rsid w:val="00335B77"/>
    <w:rsid w:val="00336586"/>
    <w:rsid w:val="003412C2"/>
    <w:rsid w:val="0034363D"/>
    <w:rsid w:val="00344209"/>
    <w:rsid w:val="0034476D"/>
    <w:rsid w:val="00344AA8"/>
    <w:rsid w:val="00347789"/>
    <w:rsid w:val="003507A3"/>
    <w:rsid w:val="003508B6"/>
    <w:rsid w:val="00351DA5"/>
    <w:rsid w:val="00356BBE"/>
    <w:rsid w:val="003571A1"/>
    <w:rsid w:val="003577C6"/>
    <w:rsid w:val="003619B2"/>
    <w:rsid w:val="0036293A"/>
    <w:rsid w:val="00363096"/>
    <w:rsid w:val="0036576A"/>
    <w:rsid w:val="00367E45"/>
    <w:rsid w:val="0037404C"/>
    <w:rsid w:val="00377C28"/>
    <w:rsid w:val="00380272"/>
    <w:rsid w:val="00383C43"/>
    <w:rsid w:val="00384F24"/>
    <w:rsid w:val="0039233B"/>
    <w:rsid w:val="003A18A7"/>
    <w:rsid w:val="003A2F6E"/>
    <w:rsid w:val="003A5449"/>
    <w:rsid w:val="003A7F72"/>
    <w:rsid w:val="003B1844"/>
    <w:rsid w:val="003B18DE"/>
    <w:rsid w:val="003B2FEB"/>
    <w:rsid w:val="003B3CF2"/>
    <w:rsid w:val="003B4229"/>
    <w:rsid w:val="003C7313"/>
    <w:rsid w:val="003C7603"/>
    <w:rsid w:val="003D05A0"/>
    <w:rsid w:val="003D3A56"/>
    <w:rsid w:val="003D6537"/>
    <w:rsid w:val="003E0899"/>
    <w:rsid w:val="003E27A1"/>
    <w:rsid w:val="003E73B2"/>
    <w:rsid w:val="003F165D"/>
    <w:rsid w:val="003F1A67"/>
    <w:rsid w:val="003F3725"/>
    <w:rsid w:val="003F3C45"/>
    <w:rsid w:val="003F4681"/>
    <w:rsid w:val="003F6D04"/>
    <w:rsid w:val="00401337"/>
    <w:rsid w:val="00405D83"/>
    <w:rsid w:val="00415460"/>
    <w:rsid w:val="004209F4"/>
    <w:rsid w:val="0042116C"/>
    <w:rsid w:val="00426D86"/>
    <w:rsid w:val="00430C8F"/>
    <w:rsid w:val="00430F54"/>
    <w:rsid w:val="004319F0"/>
    <w:rsid w:val="00433370"/>
    <w:rsid w:val="00436F24"/>
    <w:rsid w:val="00437A35"/>
    <w:rsid w:val="0044178C"/>
    <w:rsid w:val="004425CD"/>
    <w:rsid w:val="00442EEF"/>
    <w:rsid w:val="00443D4A"/>
    <w:rsid w:val="004449C6"/>
    <w:rsid w:val="00444B72"/>
    <w:rsid w:val="00445880"/>
    <w:rsid w:val="00446C8A"/>
    <w:rsid w:val="00446D3A"/>
    <w:rsid w:val="00460F42"/>
    <w:rsid w:val="0046365C"/>
    <w:rsid w:val="004656D7"/>
    <w:rsid w:val="00471C85"/>
    <w:rsid w:val="004774F8"/>
    <w:rsid w:val="00477768"/>
    <w:rsid w:val="00480EE5"/>
    <w:rsid w:val="00481820"/>
    <w:rsid w:val="004822E1"/>
    <w:rsid w:val="004903B2"/>
    <w:rsid w:val="00490EAC"/>
    <w:rsid w:val="0049264B"/>
    <w:rsid w:val="004937E7"/>
    <w:rsid w:val="004A09A0"/>
    <w:rsid w:val="004A0B03"/>
    <w:rsid w:val="004A78C8"/>
    <w:rsid w:val="004A7ADE"/>
    <w:rsid w:val="004B1B8B"/>
    <w:rsid w:val="004B50D9"/>
    <w:rsid w:val="004C0288"/>
    <w:rsid w:val="004C0C8B"/>
    <w:rsid w:val="004C4A01"/>
    <w:rsid w:val="004D050A"/>
    <w:rsid w:val="004D2845"/>
    <w:rsid w:val="004E1B2A"/>
    <w:rsid w:val="004E2311"/>
    <w:rsid w:val="004E566E"/>
    <w:rsid w:val="004F1E8F"/>
    <w:rsid w:val="004F6E7E"/>
    <w:rsid w:val="004F7F6D"/>
    <w:rsid w:val="005033DD"/>
    <w:rsid w:val="005051B1"/>
    <w:rsid w:val="005063BD"/>
    <w:rsid w:val="00513668"/>
    <w:rsid w:val="005208E0"/>
    <w:rsid w:val="00520DC9"/>
    <w:rsid w:val="0052318E"/>
    <w:rsid w:val="0052335F"/>
    <w:rsid w:val="005242BC"/>
    <w:rsid w:val="005252AF"/>
    <w:rsid w:val="00525CC5"/>
    <w:rsid w:val="005330E9"/>
    <w:rsid w:val="005412B8"/>
    <w:rsid w:val="00541634"/>
    <w:rsid w:val="00541EB0"/>
    <w:rsid w:val="00543552"/>
    <w:rsid w:val="0055529E"/>
    <w:rsid w:val="00563D49"/>
    <w:rsid w:val="005658E5"/>
    <w:rsid w:val="00571C65"/>
    <w:rsid w:val="00572076"/>
    <w:rsid w:val="005B0B72"/>
    <w:rsid w:val="005B0E11"/>
    <w:rsid w:val="005B268D"/>
    <w:rsid w:val="005B4ABF"/>
    <w:rsid w:val="005B4C2A"/>
    <w:rsid w:val="005B6E17"/>
    <w:rsid w:val="005C1645"/>
    <w:rsid w:val="005C457A"/>
    <w:rsid w:val="005D25E1"/>
    <w:rsid w:val="005D48C9"/>
    <w:rsid w:val="005E66E5"/>
    <w:rsid w:val="005F3467"/>
    <w:rsid w:val="005F73E3"/>
    <w:rsid w:val="00601DB7"/>
    <w:rsid w:val="00602496"/>
    <w:rsid w:val="00605E89"/>
    <w:rsid w:val="00611409"/>
    <w:rsid w:val="006126D9"/>
    <w:rsid w:val="00620A30"/>
    <w:rsid w:val="006239A5"/>
    <w:rsid w:val="00625041"/>
    <w:rsid w:val="0062653D"/>
    <w:rsid w:val="00627C0E"/>
    <w:rsid w:val="0063051F"/>
    <w:rsid w:val="006360A8"/>
    <w:rsid w:val="006377CA"/>
    <w:rsid w:val="00637B4C"/>
    <w:rsid w:val="00645632"/>
    <w:rsid w:val="00655EA1"/>
    <w:rsid w:val="006611A3"/>
    <w:rsid w:val="0066158A"/>
    <w:rsid w:val="0066176E"/>
    <w:rsid w:val="00662768"/>
    <w:rsid w:val="00666328"/>
    <w:rsid w:val="006673CA"/>
    <w:rsid w:val="00667EC0"/>
    <w:rsid w:val="0067252E"/>
    <w:rsid w:val="00673440"/>
    <w:rsid w:val="0067471E"/>
    <w:rsid w:val="00681541"/>
    <w:rsid w:val="006815F2"/>
    <w:rsid w:val="006841C2"/>
    <w:rsid w:val="00684330"/>
    <w:rsid w:val="0068456A"/>
    <w:rsid w:val="00686F32"/>
    <w:rsid w:val="00691D2C"/>
    <w:rsid w:val="00692338"/>
    <w:rsid w:val="006948E7"/>
    <w:rsid w:val="00695C29"/>
    <w:rsid w:val="00696BA7"/>
    <w:rsid w:val="00696D2A"/>
    <w:rsid w:val="006A044B"/>
    <w:rsid w:val="006B0256"/>
    <w:rsid w:val="006B0D93"/>
    <w:rsid w:val="006B2448"/>
    <w:rsid w:val="006B493A"/>
    <w:rsid w:val="006B6451"/>
    <w:rsid w:val="006C1734"/>
    <w:rsid w:val="006C33F7"/>
    <w:rsid w:val="006C4E20"/>
    <w:rsid w:val="006C604F"/>
    <w:rsid w:val="006C62D8"/>
    <w:rsid w:val="006D2DD8"/>
    <w:rsid w:val="006D69DB"/>
    <w:rsid w:val="006D714C"/>
    <w:rsid w:val="006D7BEF"/>
    <w:rsid w:val="006E4A19"/>
    <w:rsid w:val="006E767D"/>
    <w:rsid w:val="006F0E1F"/>
    <w:rsid w:val="006F5FE0"/>
    <w:rsid w:val="006F63F6"/>
    <w:rsid w:val="007010AA"/>
    <w:rsid w:val="0070327F"/>
    <w:rsid w:val="00711EF0"/>
    <w:rsid w:val="007145D1"/>
    <w:rsid w:val="00715065"/>
    <w:rsid w:val="00715DFE"/>
    <w:rsid w:val="00720312"/>
    <w:rsid w:val="00720588"/>
    <w:rsid w:val="007248A3"/>
    <w:rsid w:val="00724DA9"/>
    <w:rsid w:val="0072563A"/>
    <w:rsid w:val="007324AD"/>
    <w:rsid w:val="00737322"/>
    <w:rsid w:val="00740BEE"/>
    <w:rsid w:val="00741C6A"/>
    <w:rsid w:val="0074320B"/>
    <w:rsid w:val="00745766"/>
    <w:rsid w:val="00750142"/>
    <w:rsid w:val="00752C12"/>
    <w:rsid w:val="00756ED7"/>
    <w:rsid w:val="00764F31"/>
    <w:rsid w:val="0077341C"/>
    <w:rsid w:val="007740A8"/>
    <w:rsid w:val="00774238"/>
    <w:rsid w:val="0077497C"/>
    <w:rsid w:val="00792178"/>
    <w:rsid w:val="0079347F"/>
    <w:rsid w:val="00793CE6"/>
    <w:rsid w:val="007A0FE5"/>
    <w:rsid w:val="007A14BA"/>
    <w:rsid w:val="007A3367"/>
    <w:rsid w:val="007A6D13"/>
    <w:rsid w:val="007A6F7C"/>
    <w:rsid w:val="007B2B91"/>
    <w:rsid w:val="007B3396"/>
    <w:rsid w:val="007B4AD7"/>
    <w:rsid w:val="007B5D06"/>
    <w:rsid w:val="007C083E"/>
    <w:rsid w:val="007C4D3A"/>
    <w:rsid w:val="007C6EC5"/>
    <w:rsid w:val="007D0776"/>
    <w:rsid w:val="007D1082"/>
    <w:rsid w:val="007D35F3"/>
    <w:rsid w:val="007D3D14"/>
    <w:rsid w:val="007E6C53"/>
    <w:rsid w:val="007F3F2C"/>
    <w:rsid w:val="007F5126"/>
    <w:rsid w:val="0080138F"/>
    <w:rsid w:val="00801AEF"/>
    <w:rsid w:val="00804EE8"/>
    <w:rsid w:val="008077D4"/>
    <w:rsid w:val="0081570E"/>
    <w:rsid w:val="00817190"/>
    <w:rsid w:val="0082080B"/>
    <w:rsid w:val="0082197E"/>
    <w:rsid w:val="008219CC"/>
    <w:rsid w:val="00822D82"/>
    <w:rsid w:val="00824E8A"/>
    <w:rsid w:val="00831835"/>
    <w:rsid w:val="0083490A"/>
    <w:rsid w:val="008431A3"/>
    <w:rsid w:val="00846293"/>
    <w:rsid w:val="00850CFC"/>
    <w:rsid w:val="00855102"/>
    <w:rsid w:val="00865856"/>
    <w:rsid w:val="0087058C"/>
    <w:rsid w:val="008723F4"/>
    <w:rsid w:val="00873174"/>
    <w:rsid w:val="00881AB9"/>
    <w:rsid w:val="00892495"/>
    <w:rsid w:val="008A2DA1"/>
    <w:rsid w:val="008A413B"/>
    <w:rsid w:val="008A610B"/>
    <w:rsid w:val="008A6F55"/>
    <w:rsid w:val="008B4227"/>
    <w:rsid w:val="008B4CA5"/>
    <w:rsid w:val="008C106E"/>
    <w:rsid w:val="008C1D5F"/>
    <w:rsid w:val="008C436D"/>
    <w:rsid w:val="008D7AA5"/>
    <w:rsid w:val="008E0BA8"/>
    <w:rsid w:val="008F085A"/>
    <w:rsid w:val="008F0D9F"/>
    <w:rsid w:val="008F72EA"/>
    <w:rsid w:val="009020E0"/>
    <w:rsid w:val="00906345"/>
    <w:rsid w:val="009103A9"/>
    <w:rsid w:val="0091208C"/>
    <w:rsid w:val="0091228C"/>
    <w:rsid w:val="00912F47"/>
    <w:rsid w:val="009139C1"/>
    <w:rsid w:val="00913E4D"/>
    <w:rsid w:val="00917571"/>
    <w:rsid w:val="00917D1D"/>
    <w:rsid w:val="0092075D"/>
    <w:rsid w:val="0092107B"/>
    <w:rsid w:val="00922128"/>
    <w:rsid w:val="00933F95"/>
    <w:rsid w:val="00940AB9"/>
    <w:rsid w:val="0094773C"/>
    <w:rsid w:val="00953421"/>
    <w:rsid w:val="00972F4E"/>
    <w:rsid w:val="0097685C"/>
    <w:rsid w:val="00976B0A"/>
    <w:rsid w:val="00981719"/>
    <w:rsid w:val="00982E9E"/>
    <w:rsid w:val="00985351"/>
    <w:rsid w:val="009878E2"/>
    <w:rsid w:val="009A1D67"/>
    <w:rsid w:val="009A357A"/>
    <w:rsid w:val="009A6630"/>
    <w:rsid w:val="009A742D"/>
    <w:rsid w:val="009B0229"/>
    <w:rsid w:val="009B44C1"/>
    <w:rsid w:val="009B6FAC"/>
    <w:rsid w:val="009C6050"/>
    <w:rsid w:val="009E1065"/>
    <w:rsid w:val="009F68BB"/>
    <w:rsid w:val="00A0212E"/>
    <w:rsid w:val="00A03EB0"/>
    <w:rsid w:val="00A2453D"/>
    <w:rsid w:val="00A2762F"/>
    <w:rsid w:val="00A350AA"/>
    <w:rsid w:val="00A35221"/>
    <w:rsid w:val="00A4006D"/>
    <w:rsid w:val="00A40B19"/>
    <w:rsid w:val="00A47085"/>
    <w:rsid w:val="00A515A0"/>
    <w:rsid w:val="00A54EDE"/>
    <w:rsid w:val="00A56894"/>
    <w:rsid w:val="00A571D4"/>
    <w:rsid w:val="00A6508F"/>
    <w:rsid w:val="00A66F5A"/>
    <w:rsid w:val="00A6766C"/>
    <w:rsid w:val="00A707BC"/>
    <w:rsid w:val="00A70DB1"/>
    <w:rsid w:val="00A72105"/>
    <w:rsid w:val="00A744EF"/>
    <w:rsid w:val="00A76194"/>
    <w:rsid w:val="00A82865"/>
    <w:rsid w:val="00A856A0"/>
    <w:rsid w:val="00A95F1C"/>
    <w:rsid w:val="00A963E3"/>
    <w:rsid w:val="00A96919"/>
    <w:rsid w:val="00AA5229"/>
    <w:rsid w:val="00AA64CD"/>
    <w:rsid w:val="00AA7946"/>
    <w:rsid w:val="00AB3C69"/>
    <w:rsid w:val="00AB50E9"/>
    <w:rsid w:val="00AC1164"/>
    <w:rsid w:val="00AC175C"/>
    <w:rsid w:val="00AD3679"/>
    <w:rsid w:val="00AD4464"/>
    <w:rsid w:val="00AD67E7"/>
    <w:rsid w:val="00AE2916"/>
    <w:rsid w:val="00AE51FB"/>
    <w:rsid w:val="00AE72B4"/>
    <w:rsid w:val="00AF2D65"/>
    <w:rsid w:val="00B020F6"/>
    <w:rsid w:val="00B049F2"/>
    <w:rsid w:val="00B15FDD"/>
    <w:rsid w:val="00B16B44"/>
    <w:rsid w:val="00B21C8D"/>
    <w:rsid w:val="00B233DF"/>
    <w:rsid w:val="00B2530D"/>
    <w:rsid w:val="00B31524"/>
    <w:rsid w:val="00B35E94"/>
    <w:rsid w:val="00B474D0"/>
    <w:rsid w:val="00B47DF7"/>
    <w:rsid w:val="00B5094D"/>
    <w:rsid w:val="00B537DA"/>
    <w:rsid w:val="00B554F2"/>
    <w:rsid w:val="00B6192A"/>
    <w:rsid w:val="00B715B1"/>
    <w:rsid w:val="00B71940"/>
    <w:rsid w:val="00B741AA"/>
    <w:rsid w:val="00B74A40"/>
    <w:rsid w:val="00B840AE"/>
    <w:rsid w:val="00B844A1"/>
    <w:rsid w:val="00B845B1"/>
    <w:rsid w:val="00B8735C"/>
    <w:rsid w:val="00B96481"/>
    <w:rsid w:val="00BB1366"/>
    <w:rsid w:val="00BB217D"/>
    <w:rsid w:val="00BB3136"/>
    <w:rsid w:val="00BB3524"/>
    <w:rsid w:val="00BD1BFF"/>
    <w:rsid w:val="00BD4CBB"/>
    <w:rsid w:val="00BD5C55"/>
    <w:rsid w:val="00BD7BE5"/>
    <w:rsid w:val="00BE0322"/>
    <w:rsid w:val="00BE328A"/>
    <w:rsid w:val="00BE42FC"/>
    <w:rsid w:val="00BE699D"/>
    <w:rsid w:val="00BF1A84"/>
    <w:rsid w:val="00BF1D65"/>
    <w:rsid w:val="00BF34CC"/>
    <w:rsid w:val="00C12B30"/>
    <w:rsid w:val="00C12DD4"/>
    <w:rsid w:val="00C234D7"/>
    <w:rsid w:val="00C2493A"/>
    <w:rsid w:val="00C2505D"/>
    <w:rsid w:val="00C2595F"/>
    <w:rsid w:val="00C27825"/>
    <w:rsid w:val="00C27CDF"/>
    <w:rsid w:val="00C32D2F"/>
    <w:rsid w:val="00C350B6"/>
    <w:rsid w:val="00C357B9"/>
    <w:rsid w:val="00C437CB"/>
    <w:rsid w:val="00C4444D"/>
    <w:rsid w:val="00C44D7F"/>
    <w:rsid w:val="00C44FE1"/>
    <w:rsid w:val="00C4500C"/>
    <w:rsid w:val="00C519A8"/>
    <w:rsid w:val="00C60F70"/>
    <w:rsid w:val="00C616AD"/>
    <w:rsid w:val="00C619CC"/>
    <w:rsid w:val="00C6791C"/>
    <w:rsid w:val="00C70102"/>
    <w:rsid w:val="00C7350E"/>
    <w:rsid w:val="00C83527"/>
    <w:rsid w:val="00C8680D"/>
    <w:rsid w:val="00C875D8"/>
    <w:rsid w:val="00C877CD"/>
    <w:rsid w:val="00C9142B"/>
    <w:rsid w:val="00CA3D61"/>
    <w:rsid w:val="00CA5819"/>
    <w:rsid w:val="00CB3747"/>
    <w:rsid w:val="00CB5CDC"/>
    <w:rsid w:val="00CB65D6"/>
    <w:rsid w:val="00CC053E"/>
    <w:rsid w:val="00CD00C0"/>
    <w:rsid w:val="00CE42A2"/>
    <w:rsid w:val="00CE5620"/>
    <w:rsid w:val="00CE598C"/>
    <w:rsid w:val="00CF303F"/>
    <w:rsid w:val="00CF4D1D"/>
    <w:rsid w:val="00CF578B"/>
    <w:rsid w:val="00D03038"/>
    <w:rsid w:val="00D03113"/>
    <w:rsid w:val="00D0556A"/>
    <w:rsid w:val="00D06A0C"/>
    <w:rsid w:val="00D11056"/>
    <w:rsid w:val="00D122C3"/>
    <w:rsid w:val="00D1490C"/>
    <w:rsid w:val="00D1500C"/>
    <w:rsid w:val="00D21D31"/>
    <w:rsid w:val="00D21DD5"/>
    <w:rsid w:val="00D2333E"/>
    <w:rsid w:val="00D27445"/>
    <w:rsid w:val="00D2784F"/>
    <w:rsid w:val="00D27F47"/>
    <w:rsid w:val="00D30A13"/>
    <w:rsid w:val="00D30C5B"/>
    <w:rsid w:val="00D34EA3"/>
    <w:rsid w:val="00D36063"/>
    <w:rsid w:val="00D40D87"/>
    <w:rsid w:val="00D4283E"/>
    <w:rsid w:val="00D46ABA"/>
    <w:rsid w:val="00D52DA9"/>
    <w:rsid w:val="00D534FF"/>
    <w:rsid w:val="00D76774"/>
    <w:rsid w:val="00D778A3"/>
    <w:rsid w:val="00D81087"/>
    <w:rsid w:val="00D85D60"/>
    <w:rsid w:val="00D8762A"/>
    <w:rsid w:val="00D90088"/>
    <w:rsid w:val="00D9529B"/>
    <w:rsid w:val="00D96EDA"/>
    <w:rsid w:val="00DA0D1D"/>
    <w:rsid w:val="00DA0EF6"/>
    <w:rsid w:val="00DA381B"/>
    <w:rsid w:val="00DA3DAD"/>
    <w:rsid w:val="00DA5942"/>
    <w:rsid w:val="00DB05C3"/>
    <w:rsid w:val="00DC15F9"/>
    <w:rsid w:val="00DC5BA8"/>
    <w:rsid w:val="00DD5C2D"/>
    <w:rsid w:val="00DD7657"/>
    <w:rsid w:val="00DE4A67"/>
    <w:rsid w:val="00DF42CD"/>
    <w:rsid w:val="00DF678F"/>
    <w:rsid w:val="00DF761C"/>
    <w:rsid w:val="00E054E0"/>
    <w:rsid w:val="00E06FE3"/>
    <w:rsid w:val="00E1042F"/>
    <w:rsid w:val="00E10A49"/>
    <w:rsid w:val="00E14911"/>
    <w:rsid w:val="00E1559B"/>
    <w:rsid w:val="00E15666"/>
    <w:rsid w:val="00E168EE"/>
    <w:rsid w:val="00E16B72"/>
    <w:rsid w:val="00E35FB9"/>
    <w:rsid w:val="00E377E4"/>
    <w:rsid w:val="00E41EC4"/>
    <w:rsid w:val="00E44D1B"/>
    <w:rsid w:val="00E5226E"/>
    <w:rsid w:val="00E52C3E"/>
    <w:rsid w:val="00E53049"/>
    <w:rsid w:val="00E5699D"/>
    <w:rsid w:val="00E56BE7"/>
    <w:rsid w:val="00E56DAA"/>
    <w:rsid w:val="00E61358"/>
    <w:rsid w:val="00E62EB6"/>
    <w:rsid w:val="00E6380E"/>
    <w:rsid w:val="00E718D0"/>
    <w:rsid w:val="00E74C1E"/>
    <w:rsid w:val="00E84EFD"/>
    <w:rsid w:val="00E86B6C"/>
    <w:rsid w:val="00E86CFC"/>
    <w:rsid w:val="00E93BF5"/>
    <w:rsid w:val="00E97BD0"/>
    <w:rsid w:val="00EA0381"/>
    <w:rsid w:val="00EA20EF"/>
    <w:rsid w:val="00EA7168"/>
    <w:rsid w:val="00EA7DFB"/>
    <w:rsid w:val="00EB0FE3"/>
    <w:rsid w:val="00EB2648"/>
    <w:rsid w:val="00EB28CC"/>
    <w:rsid w:val="00EB309E"/>
    <w:rsid w:val="00EB392D"/>
    <w:rsid w:val="00EB684C"/>
    <w:rsid w:val="00EC535A"/>
    <w:rsid w:val="00ED125E"/>
    <w:rsid w:val="00ED197C"/>
    <w:rsid w:val="00ED5CE1"/>
    <w:rsid w:val="00EE2758"/>
    <w:rsid w:val="00EE5ACA"/>
    <w:rsid w:val="00EE74EB"/>
    <w:rsid w:val="00EF5052"/>
    <w:rsid w:val="00EF6DDD"/>
    <w:rsid w:val="00F025D5"/>
    <w:rsid w:val="00F026C6"/>
    <w:rsid w:val="00F0382D"/>
    <w:rsid w:val="00F05C5A"/>
    <w:rsid w:val="00F122F5"/>
    <w:rsid w:val="00F14DB5"/>
    <w:rsid w:val="00F155E1"/>
    <w:rsid w:val="00F15AAC"/>
    <w:rsid w:val="00F225BD"/>
    <w:rsid w:val="00F345D4"/>
    <w:rsid w:val="00F3528D"/>
    <w:rsid w:val="00F369C9"/>
    <w:rsid w:val="00F421ED"/>
    <w:rsid w:val="00F42855"/>
    <w:rsid w:val="00F47800"/>
    <w:rsid w:val="00F506B1"/>
    <w:rsid w:val="00F51714"/>
    <w:rsid w:val="00F53A08"/>
    <w:rsid w:val="00F57FD6"/>
    <w:rsid w:val="00F7030B"/>
    <w:rsid w:val="00F7532F"/>
    <w:rsid w:val="00F759CA"/>
    <w:rsid w:val="00F80278"/>
    <w:rsid w:val="00F813F8"/>
    <w:rsid w:val="00F81AF6"/>
    <w:rsid w:val="00F85B0C"/>
    <w:rsid w:val="00F86389"/>
    <w:rsid w:val="00F9155F"/>
    <w:rsid w:val="00F92573"/>
    <w:rsid w:val="00F92B0E"/>
    <w:rsid w:val="00F955A4"/>
    <w:rsid w:val="00FA53F7"/>
    <w:rsid w:val="00FB0312"/>
    <w:rsid w:val="00FB1C77"/>
    <w:rsid w:val="00FB480E"/>
    <w:rsid w:val="00FB49D8"/>
    <w:rsid w:val="00FB62BB"/>
    <w:rsid w:val="00FB6BE3"/>
    <w:rsid w:val="00FB76A8"/>
    <w:rsid w:val="00FC0CF4"/>
    <w:rsid w:val="00FC49A5"/>
    <w:rsid w:val="00FD395A"/>
    <w:rsid w:val="00FD60CF"/>
    <w:rsid w:val="00FE37CC"/>
    <w:rsid w:val="00FE4DB1"/>
    <w:rsid w:val="00FF0C5C"/>
    <w:rsid w:val="00FF0EB8"/>
    <w:rsid w:val="00FF2487"/>
    <w:rsid w:val="00FF24AB"/>
    <w:rsid w:val="00FF57ED"/>
    <w:rsid w:val="15B9E4BA"/>
    <w:rsid w:val="3E2B679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23E5B2"/>
  <w15:chartTrackingRefBased/>
  <w15:docId w15:val="{A65D692B-6369-4201-A48B-D77BCFC2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D49"/>
    <w:rPr>
      <w:lang w:eastAsia="pt-BR"/>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lang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elanormal"/>
    <w:uiPriority w:val="42"/>
    <w:rsid w:val="00DA0D1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nfase">
    <w:name w:val="Emphasis"/>
    <w:uiPriority w:val="20"/>
    <w:qFormat/>
    <w:rsid w:val="00471C85"/>
    <w:rPr>
      <w:i/>
      <w:iCs/>
    </w:rPr>
  </w:style>
  <w:style w:type="character" w:customStyle="1" w:styleId="fontstyle01">
    <w:name w:val="fontstyle01"/>
    <w:basedOn w:val="Fontepargpadro"/>
    <w:uiPriority w:val="1"/>
    <w:rsid w:val="3E2B6792"/>
    <w:rPr>
      <w:rFonts w:ascii="ArialMT" w:eastAsiaTheme="minorEastAsia" w:hAnsi="ArialMT" w:cstheme="minorBidi"/>
      <w:b w:val="0"/>
      <w:bCs w:val="0"/>
      <w:i w:val="0"/>
      <w:iCs w:val="0"/>
      <w:color w:val="000000" w:themeColor="text1"/>
      <w:sz w:val="22"/>
      <w:szCs w:val="22"/>
    </w:rPr>
  </w:style>
  <w:style w:type="character" w:customStyle="1" w:styleId="fontstyle21">
    <w:name w:val="fontstyle21"/>
    <w:basedOn w:val="Fontepargpadro"/>
    <w:uiPriority w:val="1"/>
    <w:rsid w:val="3E2B6792"/>
    <w:rPr>
      <w:rFonts w:ascii="Arial-BoldMT" w:eastAsiaTheme="minorEastAsia" w:hAnsi="Arial-BoldMT" w:cstheme="minorBidi"/>
      <w:b/>
      <w:bCs/>
      <w:i w:val="0"/>
      <w:iCs w:val="0"/>
      <w:color w:val="000000" w:themeColor="text1"/>
      <w:sz w:val="24"/>
      <w:szCs w:val="24"/>
    </w:rPr>
  </w:style>
  <w:style w:type="character" w:styleId="MenoPendente">
    <w:name w:val="Unresolved Mention"/>
    <w:basedOn w:val="Fontepargpadro"/>
    <w:uiPriority w:val="99"/>
    <w:semiHidden/>
    <w:unhideWhenUsed/>
    <w:rsid w:val="00DC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333268484">
      <w:bodyDiv w:val="1"/>
      <w:marLeft w:val="0"/>
      <w:marRight w:val="0"/>
      <w:marTop w:val="0"/>
      <w:marBottom w:val="0"/>
      <w:divBdr>
        <w:top w:val="none" w:sz="0" w:space="0" w:color="auto"/>
        <w:left w:val="none" w:sz="0" w:space="0" w:color="auto"/>
        <w:bottom w:val="none" w:sz="0" w:space="0" w:color="auto"/>
        <w:right w:val="none" w:sz="0" w:space="0" w:color="auto"/>
      </w:divBdr>
    </w:div>
    <w:div w:id="10294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j.conbuildmat.2019.1178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archive.org/web/20110829165350/http:/oficina.cienciaviva.pt:80/~pw054/vidro/Oqueeovidro.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ertha@univali.b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7FBA06D4F31840AEC39A3E49F63D28" ma:contentTypeVersion="15" ma:contentTypeDescription="Crie um novo documento." ma:contentTypeScope="" ma:versionID="60766241a4efc2f8d11d0d3085df8869">
  <xsd:schema xmlns:xsd="http://www.w3.org/2001/XMLSchema" xmlns:xs="http://www.w3.org/2001/XMLSchema" xmlns:p="http://schemas.microsoft.com/office/2006/metadata/properties" xmlns:ns3="99c5a2a6-ac7b-4be0-b7a3-ad0eb41b5e43" xmlns:ns4="ac6cce0e-541f-4d65-8405-e5ce99eed775" targetNamespace="http://schemas.microsoft.com/office/2006/metadata/properties" ma:root="true" ma:fieldsID="778f15453c333c31667e85b2ef899704" ns3:_="" ns4:_="">
    <xsd:import namespace="99c5a2a6-ac7b-4be0-b7a3-ad0eb41b5e43"/>
    <xsd:import namespace="ac6cce0e-541f-4d65-8405-e5ce99eed7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5a2a6-ac7b-4be0-b7a3-ad0eb41b5e4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cce0e-541f-4d65-8405-e5ce99eed7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c6cce0e-541f-4d65-8405-e5ce99eed7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5F35-DC92-451F-86B3-D19F79CA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5a2a6-ac7b-4be0-b7a3-ad0eb41b5e43"/>
    <ds:schemaRef ds:uri="ac6cce0e-541f-4d65-8405-e5ce99eed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E3DEB-A951-43DE-83DB-960B8505BD14}">
  <ds:schemaRefs>
    <ds:schemaRef ds:uri="99c5a2a6-ac7b-4be0-b7a3-ad0eb41b5e43"/>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ac6cce0e-541f-4d65-8405-e5ce99eed775"/>
    <ds:schemaRef ds:uri="http://purl.org/dc/terms/"/>
  </ds:schemaRefs>
</ds:datastoreItem>
</file>

<file path=customXml/itemProps3.xml><?xml version="1.0" encoding="utf-8"?>
<ds:datastoreItem xmlns:ds="http://schemas.openxmlformats.org/officeDocument/2006/customXml" ds:itemID="{59699611-868C-416B-8B12-EE818150836F}">
  <ds:schemaRefs>
    <ds:schemaRef ds:uri="http://schemas.microsoft.com/sharepoint/v3/contenttype/forms"/>
  </ds:schemaRefs>
</ds:datastoreItem>
</file>

<file path=customXml/itemProps4.xml><?xml version="1.0" encoding="utf-8"?>
<ds:datastoreItem xmlns:ds="http://schemas.openxmlformats.org/officeDocument/2006/customXml" ds:itemID="{95598888-9A11-4A64-B8FB-864B8F1A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2485</Words>
  <Characters>13478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dc:description/>
  <cp:lastModifiedBy>Silvia Santos</cp:lastModifiedBy>
  <cp:revision>5</cp:revision>
  <dcterms:created xsi:type="dcterms:W3CDTF">2023-06-30T00:39:00Z</dcterms:created>
  <dcterms:modified xsi:type="dcterms:W3CDTF">2023-06-30T19:59:00Z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5c837c98b3fa6124fcf00ef1f0ec4c508ef792b2f89eedd5c0069c7c806aed08</vt:lpwstr>
  </property>
  <property fmtid="{D5CDD505-2E9C-101B-9397-08002B2CF9AE}" pid="3" name="ContentTypeId">
    <vt:lpwstr>0x010100BF7FBA06D4F31840AEC39A3E49F63D28</vt:lpwstr>
  </property>
</Properties>
</file>