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9C1A" w14:textId="77777777" w:rsidR="008E20D3" w:rsidRDefault="00BD1211">
      <w:pPr>
        <w:spacing w:after="0" w:line="259" w:lineRule="auto"/>
        <w:ind w:left="0" w:right="69" w:firstLine="0"/>
        <w:jc w:val="right"/>
      </w:pPr>
      <w:r>
        <w:rPr>
          <w:b/>
          <w:sz w:val="24"/>
        </w:rPr>
        <w:t xml:space="preserve">ANÁLISE FINANCEIRA DE OBRA PÚBLICA DE ACORDO COM PLANILHA </w:t>
      </w:r>
    </w:p>
    <w:p w14:paraId="203783F0" w14:textId="77777777" w:rsidR="008E20D3" w:rsidRDefault="00BD1211">
      <w:pPr>
        <w:spacing w:after="0" w:line="259" w:lineRule="auto"/>
        <w:ind w:left="507" w:right="0" w:firstLine="0"/>
        <w:jc w:val="center"/>
      </w:pPr>
      <w:r>
        <w:rPr>
          <w:b/>
          <w:sz w:val="24"/>
        </w:rPr>
        <w:t xml:space="preserve">ORÇAMENTÁRIA ANEXADA EM EDITAL  </w:t>
      </w:r>
    </w:p>
    <w:p w14:paraId="0CCD56A6" w14:textId="77777777" w:rsidR="008E20D3" w:rsidRDefault="00BD1211">
      <w:pPr>
        <w:spacing w:after="0" w:line="259" w:lineRule="auto"/>
        <w:ind w:left="567" w:right="0" w:firstLine="0"/>
        <w:jc w:val="center"/>
      </w:pPr>
      <w:r>
        <w:rPr>
          <w:b/>
          <w:sz w:val="24"/>
        </w:rPr>
        <w:t xml:space="preserve"> </w:t>
      </w:r>
    </w:p>
    <w:p w14:paraId="3C81C438" w14:textId="77777777" w:rsidR="008E20D3" w:rsidRDefault="00BD1211">
      <w:pPr>
        <w:spacing w:after="0"/>
        <w:ind w:left="-15" w:right="0" w:firstLine="0"/>
        <w:rPr>
          <w:sz w:val="20"/>
        </w:rPr>
      </w:pPr>
      <w:r>
        <w:rPr>
          <w:sz w:val="20"/>
        </w:rPr>
        <w:t>ANDRESSA MARIA DOS SANTOS ARAUJO</w:t>
      </w:r>
      <w:r>
        <w:rPr>
          <w:sz w:val="20"/>
          <w:vertAlign w:val="superscript"/>
        </w:rPr>
        <w:t>1</w:t>
      </w:r>
      <w:r>
        <w:rPr>
          <w:sz w:val="20"/>
        </w:rPr>
        <w:t xml:space="preserve"> </w:t>
      </w:r>
    </w:p>
    <w:p w14:paraId="4AD246F7" w14:textId="6D2B976B" w:rsidR="00CC0F5D" w:rsidRDefault="00CC0F5D">
      <w:pPr>
        <w:spacing w:after="0"/>
        <w:ind w:left="-15" w:right="0" w:firstLine="0"/>
      </w:pPr>
      <w:r>
        <w:rPr>
          <w:sz w:val="20"/>
        </w:rPr>
        <w:t>MAYARA BORGES DE SOUZA</w:t>
      </w:r>
      <w:r>
        <w:rPr>
          <w:sz w:val="20"/>
          <w:vertAlign w:val="superscript"/>
        </w:rPr>
        <w:t>2</w:t>
      </w:r>
    </w:p>
    <w:p w14:paraId="59516EBC" w14:textId="77777777" w:rsidR="008E20D3" w:rsidRDefault="00BD1211">
      <w:pPr>
        <w:spacing w:after="0" w:line="259" w:lineRule="auto"/>
        <w:ind w:left="557" w:right="0" w:firstLine="0"/>
        <w:jc w:val="center"/>
      </w:pPr>
      <w:r>
        <w:rPr>
          <w:sz w:val="20"/>
        </w:rPr>
        <w:t xml:space="preserve"> </w:t>
      </w:r>
    </w:p>
    <w:p w14:paraId="24120CB2" w14:textId="7F6B6D04" w:rsidR="008E20D3" w:rsidRDefault="00BD1211">
      <w:pPr>
        <w:spacing w:after="0"/>
        <w:ind w:left="-15" w:right="0" w:firstLine="0"/>
        <w:rPr>
          <w:sz w:val="20"/>
        </w:rPr>
      </w:pPr>
      <w:r>
        <w:rPr>
          <w:sz w:val="20"/>
          <w:vertAlign w:val="superscript"/>
        </w:rPr>
        <w:t>1</w:t>
      </w:r>
      <w:r>
        <w:rPr>
          <w:sz w:val="20"/>
        </w:rPr>
        <w:t xml:space="preserve">Engenheira Civil pela Universidade Estácio de Sá e Professora de Orçamento de Obras Públicas e Licitação, na Escola Técnica Leiaut Carielo Online. </w:t>
      </w:r>
      <w:hyperlink r:id="rId6" w:history="1">
        <w:r w:rsidR="00CC0F5D" w:rsidRPr="006F293C">
          <w:rPr>
            <w:rStyle w:val="Hyperlink"/>
            <w:sz w:val="20"/>
          </w:rPr>
          <w:t>andressaaraujo.engenheiracivil@gmail.com</w:t>
        </w:r>
      </w:hyperlink>
      <w:r>
        <w:rPr>
          <w:sz w:val="20"/>
        </w:rPr>
        <w:t xml:space="preserve"> </w:t>
      </w:r>
    </w:p>
    <w:p w14:paraId="6936EFFD" w14:textId="57816F0B" w:rsidR="00CC0F5D" w:rsidRPr="00CC0F5D" w:rsidRDefault="00CC0F5D">
      <w:pPr>
        <w:spacing w:after="0"/>
        <w:ind w:left="-15" w:right="0" w:firstLine="0"/>
        <w:rPr>
          <w:rStyle w:val="Hyperlink"/>
          <w:sz w:val="20"/>
        </w:rPr>
      </w:pPr>
      <w:r>
        <w:rPr>
          <w:sz w:val="20"/>
          <w:vertAlign w:val="superscript"/>
        </w:rPr>
        <w:t>2</w:t>
      </w:r>
      <w:r w:rsidRPr="00CC0F5D">
        <w:rPr>
          <w:sz w:val="20"/>
        </w:rPr>
        <w:t>Engenheira</w:t>
      </w:r>
      <w:r>
        <w:rPr>
          <w:sz w:val="20"/>
        </w:rPr>
        <w:t xml:space="preserve"> Civil pela Universidade Estácio de Sá, Técnica em Edificações pelo Instituto Federal Fluminense. </w:t>
      </w:r>
      <w:r w:rsidRPr="00CC0F5D">
        <w:rPr>
          <w:rStyle w:val="Hyperlink"/>
        </w:rPr>
        <w:t>mbsolucoeseengenharia@hotmail.com</w:t>
      </w:r>
    </w:p>
    <w:p w14:paraId="2A2075F4" w14:textId="77777777" w:rsidR="00CC0F5D" w:rsidRDefault="00CC0F5D">
      <w:pPr>
        <w:spacing w:after="2" w:line="259" w:lineRule="auto"/>
        <w:ind w:left="45" w:right="0" w:firstLine="0"/>
        <w:jc w:val="center"/>
        <w:rPr>
          <w:sz w:val="20"/>
        </w:rPr>
      </w:pPr>
    </w:p>
    <w:p w14:paraId="637DDFCE" w14:textId="1B8DCDE4" w:rsidR="008E20D3" w:rsidRDefault="00BD1211">
      <w:pPr>
        <w:spacing w:after="2" w:line="259" w:lineRule="auto"/>
        <w:ind w:left="45" w:right="0" w:firstLine="0"/>
        <w:jc w:val="center"/>
      </w:pPr>
      <w:r>
        <w:rPr>
          <w:sz w:val="20"/>
        </w:rPr>
        <w:t xml:space="preserve"> </w:t>
      </w:r>
    </w:p>
    <w:p w14:paraId="6EFFC530" w14:textId="77777777" w:rsidR="008E20D3" w:rsidRPr="00534A4E" w:rsidRDefault="00BD1211">
      <w:pPr>
        <w:spacing w:after="0" w:line="259" w:lineRule="auto"/>
        <w:jc w:val="center"/>
        <w:rPr>
          <w:sz w:val="24"/>
          <w:szCs w:val="24"/>
        </w:rPr>
      </w:pPr>
      <w:r w:rsidRPr="00534A4E">
        <w:rPr>
          <w:sz w:val="24"/>
          <w:szCs w:val="24"/>
        </w:rPr>
        <w:t xml:space="preserve">Apresentado no             </w:t>
      </w:r>
    </w:p>
    <w:p w14:paraId="653CBD18" w14:textId="77777777" w:rsidR="008E20D3" w:rsidRPr="00534A4E" w:rsidRDefault="00BD1211">
      <w:pPr>
        <w:spacing w:after="0" w:line="259" w:lineRule="auto"/>
        <w:ind w:right="3"/>
        <w:jc w:val="center"/>
        <w:rPr>
          <w:sz w:val="24"/>
          <w:szCs w:val="24"/>
        </w:rPr>
      </w:pPr>
      <w:r w:rsidRPr="00534A4E">
        <w:rPr>
          <w:sz w:val="24"/>
          <w:szCs w:val="24"/>
        </w:rPr>
        <w:t xml:space="preserve">Congresso Técnico Científico da Engenharia e da Agronomia – CONTECC </w:t>
      </w:r>
    </w:p>
    <w:p w14:paraId="662F28E5" w14:textId="77777777" w:rsidR="008E20D3" w:rsidRPr="00534A4E" w:rsidRDefault="00BD1211">
      <w:pPr>
        <w:spacing w:after="0" w:line="259" w:lineRule="auto"/>
        <w:ind w:right="7"/>
        <w:jc w:val="center"/>
        <w:rPr>
          <w:sz w:val="24"/>
          <w:szCs w:val="24"/>
        </w:rPr>
      </w:pPr>
      <w:r w:rsidRPr="00534A4E">
        <w:rPr>
          <w:sz w:val="24"/>
          <w:szCs w:val="24"/>
        </w:rPr>
        <w:t xml:space="preserve">8 a 11 de agosto de 2023 </w:t>
      </w:r>
    </w:p>
    <w:p w14:paraId="215EDC66" w14:textId="77777777" w:rsidR="00CC0F5D" w:rsidRPr="00534A4E" w:rsidRDefault="00CC0F5D">
      <w:pPr>
        <w:spacing w:after="0" w:line="259" w:lineRule="auto"/>
        <w:ind w:right="7"/>
        <w:jc w:val="center"/>
        <w:rPr>
          <w:sz w:val="24"/>
          <w:szCs w:val="24"/>
        </w:rPr>
      </w:pPr>
    </w:p>
    <w:p w14:paraId="3A40B79A" w14:textId="77777777" w:rsidR="008E20D3" w:rsidRPr="00534A4E" w:rsidRDefault="00BD1211">
      <w:pPr>
        <w:spacing w:after="2" w:line="259" w:lineRule="auto"/>
        <w:ind w:left="45" w:right="0" w:firstLine="0"/>
        <w:jc w:val="center"/>
        <w:rPr>
          <w:sz w:val="24"/>
          <w:szCs w:val="24"/>
        </w:rPr>
      </w:pPr>
      <w:r w:rsidRPr="00534A4E">
        <w:rPr>
          <w:sz w:val="24"/>
          <w:szCs w:val="24"/>
        </w:rPr>
        <w:t xml:space="preserve"> </w:t>
      </w:r>
    </w:p>
    <w:p w14:paraId="5FD063B0" w14:textId="77777777" w:rsidR="008E20D3" w:rsidRPr="00534A4E" w:rsidRDefault="00BD1211">
      <w:pPr>
        <w:ind w:left="-5" w:right="0"/>
        <w:rPr>
          <w:sz w:val="24"/>
          <w:szCs w:val="24"/>
        </w:rPr>
      </w:pPr>
      <w:r w:rsidRPr="00534A4E">
        <w:rPr>
          <w:b/>
          <w:sz w:val="24"/>
          <w:szCs w:val="24"/>
        </w:rPr>
        <w:t>RESUMO</w:t>
      </w:r>
      <w:r w:rsidRPr="00534A4E">
        <w:rPr>
          <w:sz w:val="24"/>
          <w:szCs w:val="24"/>
        </w:rPr>
        <w:t>: Este trabalho objetivou exemplificar um método para análise financeira de um objeto de licitação com foco em obras públicas com a finalidade de categorizar os custos de forma a facilitar o estudo primário do planejament</w:t>
      </w:r>
      <w:r w:rsidRPr="00534A4E">
        <w:rPr>
          <w:sz w:val="24"/>
          <w:szCs w:val="24"/>
        </w:rPr>
        <w:t>o e controle dos gastos com base na planilha orçamentária anexada no próprio edital antes que a carta proposta seja realizada. Na metodologia foi utilizada para estudo de caso uma planilha publicada como anexo de um edital de licitações na cidade de Macaé-</w:t>
      </w:r>
      <w:r w:rsidRPr="00534A4E">
        <w:rPr>
          <w:sz w:val="24"/>
          <w:szCs w:val="24"/>
        </w:rPr>
        <w:t>RJ cujo objeto é a contratação de empresa especializada para reforma de um Centro de Convenções. A partir da análise criteriosa realizada neste trabalho foi possível observar que dos R$47.422.963,36 designados como custo total da reforma sem BDI, 20,05% se</w:t>
      </w:r>
      <w:r w:rsidRPr="00534A4E">
        <w:rPr>
          <w:sz w:val="24"/>
          <w:szCs w:val="24"/>
        </w:rPr>
        <w:t xml:space="preserve"> refere aos gastos de Mão-de-obra, 72,93% está designado para os gastos com material, 2,78% são referente aos custos com equipamentos bem como as suas respectivas manutenções e outros 4,24% são custos que envolvem a administração local e projetos. </w:t>
      </w:r>
    </w:p>
    <w:p w14:paraId="588D417C" w14:textId="77777777" w:rsidR="008E20D3" w:rsidRPr="00534A4E" w:rsidRDefault="00BD1211">
      <w:pPr>
        <w:ind w:left="-5" w:right="0"/>
        <w:rPr>
          <w:sz w:val="24"/>
          <w:szCs w:val="24"/>
        </w:rPr>
      </w:pPr>
      <w:r w:rsidRPr="00534A4E">
        <w:rPr>
          <w:b/>
          <w:sz w:val="24"/>
          <w:szCs w:val="24"/>
        </w:rPr>
        <w:t>PALAVRA</w:t>
      </w:r>
      <w:r w:rsidRPr="00534A4E">
        <w:rPr>
          <w:b/>
          <w:sz w:val="24"/>
          <w:szCs w:val="24"/>
        </w:rPr>
        <w:t>S-CHAVE:</w:t>
      </w:r>
      <w:r w:rsidRPr="00534A4E">
        <w:rPr>
          <w:sz w:val="24"/>
          <w:szCs w:val="24"/>
        </w:rPr>
        <w:t xml:space="preserve"> Engenharia de custos. Licitação. Obra Pública. Análise financeira. </w:t>
      </w:r>
    </w:p>
    <w:p w14:paraId="3E161720" w14:textId="77777777" w:rsidR="008E20D3" w:rsidRPr="00534A4E" w:rsidRDefault="00BD1211">
      <w:pPr>
        <w:spacing w:after="0" w:line="259" w:lineRule="auto"/>
        <w:ind w:left="45" w:right="0" w:firstLine="0"/>
        <w:jc w:val="center"/>
        <w:rPr>
          <w:sz w:val="24"/>
          <w:szCs w:val="24"/>
        </w:rPr>
      </w:pPr>
      <w:r w:rsidRPr="00534A4E">
        <w:rPr>
          <w:sz w:val="24"/>
          <w:szCs w:val="24"/>
        </w:rPr>
        <w:t xml:space="preserve"> </w:t>
      </w:r>
    </w:p>
    <w:p w14:paraId="7F940D4B" w14:textId="77777777" w:rsidR="00CC0F5D" w:rsidRPr="00534A4E" w:rsidRDefault="00CC0F5D">
      <w:pPr>
        <w:spacing w:after="0" w:line="259" w:lineRule="auto"/>
        <w:ind w:left="45" w:right="0" w:firstLine="0"/>
        <w:jc w:val="center"/>
        <w:rPr>
          <w:sz w:val="24"/>
          <w:szCs w:val="24"/>
        </w:rPr>
      </w:pPr>
    </w:p>
    <w:p w14:paraId="708201BC" w14:textId="77777777" w:rsidR="008E20D3" w:rsidRPr="00534A4E" w:rsidRDefault="00BD1211">
      <w:pPr>
        <w:spacing w:after="0" w:line="259" w:lineRule="auto"/>
        <w:ind w:right="10"/>
        <w:jc w:val="center"/>
        <w:rPr>
          <w:sz w:val="24"/>
          <w:szCs w:val="24"/>
        </w:rPr>
      </w:pPr>
      <w:r w:rsidRPr="00534A4E">
        <w:rPr>
          <w:b/>
          <w:sz w:val="24"/>
          <w:szCs w:val="24"/>
        </w:rPr>
        <w:t xml:space="preserve">FINANCIAL ANALYSIS OF PUBLIC CONSTRUCTION ACCORDING TO BUDGET </w:t>
      </w:r>
    </w:p>
    <w:p w14:paraId="468984B4" w14:textId="77777777" w:rsidR="008E20D3" w:rsidRPr="00534A4E" w:rsidRDefault="00BD1211">
      <w:pPr>
        <w:spacing w:after="0" w:line="259" w:lineRule="auto"/>
        <w:ind w:right="9"/>
        <w:jc w:val="center"/>
        <w:rPr>
          <w:sz w:val="24"/>
          <w:szCs w:val="24"/>
        </w:rPr>
      </w:pPr>
      <w:r w:rsidRPr="00534A4E">
        <w:rPr>
          <w:b/>
          <w:sz w:val="24"/>
          <w:szCs w:val="24"/>
        </w:rPr>
        <w:t xml:space="preserve">SPREADSHEET ATTACHED IN BID NOTICE </w:t>
      </w:r>
    </w:p>
    <w:p w14:paraId="24B4CD87" w14:textId="77777777" w:rsidR="008E20D3" w:rsidRPr="00534A4E" w:rsidRDefault="00BD1211">
      <w:pPr>
        <w:spacing w:line="259" w:lineRule="auto"/>
        <w:ind w:left="0" w:right="0" w:firstLine="0"/>
        <w:jc w:val="left"/>
        <w:rPr>
          <w:sz w:val="24"/>
          <w:szCs w:val="24"/>
        </w:rPr>
      </w:pPr>
      <w:r w:rsidRPr="00534A4E">
        <w:rPr>
          <w:b/>
          <w:sz w:val="24"/>
          <w:szCs w:val="24"/>
        </w:rPr>
        <w:t xml:space="preserve"> </w:t>
      </w:r>
      <w:r w:rsidRPr="00534A4E">
        <w:rPr>
          <w:b/>
          <w:sz w:val="24"/>
          <w:szCs w:val="24"/>
        </w:rPr>
        <w:tab/>
        <w:t xml:space="preserve"> </w:t>
      </w:r>
    </w:p>
    <w:p w14:paraId="473D693E" w14:textId="77777777" w:rsidR="008E20D3" w:rsidRPr="00534A4E" w:rsidRDefault="00BD1211">
      <w:pPr>
        <w:ind w:left="-5" w:right="0"/>
        <w:rPr>
          <w:sz w:val="24"/>
          <w:szCs w:val="24"/>
        </w:rPr>
      </w:pPr>
      <w:r w:rsidRPr="00534A4E">
        <w:rPr>
          <w:b/>
          <w:sz w:val="24"/>
          <w:szCs w:val="24"/>
        </w:rPr>
        <w:t>ABSTRACT</w:t>
      </w:r>
      <w:r w:rsidRPr="00534A4E">
        <w:rPr>
          <w:sz w:val="24"/>
          <w:szCs w:val="24"/>
        </w:rPr>
        <w:t xml:space="preserve">: </w:t>
      </w:r>
      <w:proofErr w:type="spellStart"/>
      <w:r w:rsidRPr="00534A4E">
        <w:rPr>
          <w:sz w:val="24"/>
          <w:szCs w:val="24"/>
        </w:rPr>
        <w:t>This</w:t>
      </w:r>
      <w:proofErr w:type="spellEnd"/>
      <w:r w:rsidRPr="00534A4E">
        <w:rPr>
          <w:sz w:val="24"/>
          <w:szCs w:val="24"/>
        </w:rPr>
        <w:t xml:space="preserve"> </w:t>
      </w:r>
      <w:proofErr w:type="spellStart"/>
      <w:r w:rsidRPr="00534A4E">
        <w:rPr>
          <w:sz w:val="24"/>
          <w:szCs w:val="24"/>
        </w:rPr>
        <w:t>study</w:t>
      </w:r>
      <w:proofErr w:type="spellEnd"/>
      <w:r w:rsidRPr="00534A4E">
        <w:rPr>
          <w:sz w:val="24"/>
          <w:szCs w:val="24"/>
        </w:rPr>
        <w:t xml:space="preserve"> </w:t>
      </w:r>
      <w:proofErr w:type="spellStart"/>
      <w:r w:rsidRPr="00534A4E">
        <w:rPr>
          <w:sz w:val="24"/>
          <w:szCs w:val="24"/>
        </w:rPr>
        <w:t>aimed</w:t>
      </w:r>
      <w:proofErr w:type="spellEnd"/>
      <w:r w:rsidRPr="00534A4E">
        <w:rPr>
          <w:sz w:val="24"/>
          <w:szCs w:val="24"/>
        </w:rPr>
        <w:t xml:space="preserve"> </w:t>
      </w:r>
      <w:proofErr w:type="spellStart"/>
      <w:r w:rsidRPr="00534A4E">
        <w:rPr>
          <w:sz w:val="24"/>
          <w:szCs w:val="24"/>
        </w:rPr>
        <w:t>exemplify</w:t>
      </w:r>
      <w:proofErr w:type="spellEnd"/>
      <w:r w:rsidRPr="00534A4E">
        <w:rPr>
          <w:sz w:val="24"/>
          <w:szCs w:val="24"/>
        </w:rPr>
        <w:t xml:space="preserve"> a </w:t>
      </w:r>
      <w:proofErr w:type="spellStart"/>
      <w:r w:rsidRPr="00534A4E">
        <w:rPr>
          <w:sz w:val="24"/>
          <w:szCs w:val="24"/>
        </w:rPr>
        <w:t>method</w:t>
      </w:r>
      <w:proofErr w:type="spellEnd"/>
      <w:r w:rsidRPr="00534A4E">
        <w:rPr>
          <w:sz w:val="24"/>
          <w:szCs w:val="24"/>
        </w:rPr>
        <w:t xml:space="preserve"> for financial </w:t>
      </w:r>
      <w:proofErr w:type="spellStart"/>
      <w:r w:rsidRPr="00534A4E">
        <w:rPr>
          <w:sz w:val="24"/>
          <w:szCs w:val="24"/>
        </w:rPr>
        <w:t>analysis</w:t>
      </w:r>
      <w:proofErr w:type="spellEnd"/>
      <w:r w:rsidRPr="00534A4E">
        <w:rPr>
          <w:sz w:val="24"/>
          <w:szCs w:val="24"/>
        </w:rPr>
        <w:t xml:space="preserve"> </w:t>
      </w:r>
      <w:proofErr w:type="spellStart"/>
      <w:r w:rsidRPr="00534A4E">
        <w:rPr>
          <w:sz w:val="24"/>
          <w:szCs w:val="24"/>
        </w:rPr>
        <w:t>of</w:t>
      </w:r>
      <w:proofErr w:type="spellEnd"/>
      <w:r w:rsidRPr="00534A4E">
        <w:rPr>
          <w:sz w:val="24"/>
          <w:szCs w:val="24"/>
        </w:rPr>
        <w:t xml:space="preserve"> a</w:t>
      </w:r>
      <w:r w:rsidRPr="00534A4E">
        <w:rPr>
          <w:sz w:val="24"/>
          <w:szCs w:val="24"/>
        </w:rPr>
        <w:t xml:space="preserve"> </w:t>
      </w:r>
      <w:proofErr w:type="spellStart"/>
      <w:r w:rsidRPr="00534A4E">
        <w:rPr>
          <w:sz w:val="24"/>
          <w:szCs w:val="24"/>
        </w:rPr>
        <w:t>bidding</w:t>
      </w:r>
      <w:proofErr w:type="spellEnd"/>
      <w:r w:rsidRPr="00534A4E">
        <w:rPr>
          <w:sz w:val="24"/>
          <w:szCs w:val="24"/>
        </w:rPr>
        <w:t xml:space="preserve"> </w:t>
      </w:r>
      <w:proofErr w:type="spellStart"/>
      <w:r w:rsidRPr="00534A4E">
        <w:rPr>
          <w:sz w:val="24"/>
          <w:szCs w:val="24"/>
        </w:rPr>
        <w:t>object</w:t>
      </w:r>
      <w:proofErr w:type="spellEnd"/>
      <w:r w:rsidRPr="00534A4E">
        <w:rPr>
          <w:sz w:val="24"/>
          <w:szCs w:val="24"/>
        </w:rPr>
        <w:t xml:space="preserve"> </w:t>
      </w:r>
      <w:proofErr w:type="spellStart"/>
      <w:r w:rsidRPr="00534A4E">
        <w:rPr>
          <w:sz w:val="24"/>
          <w:szCs w:val="24"/>
        </w:rPr>
        <w:t>with</w:t>
      </w:r>
      <w:proofErr w:type="spellEnd"/>
      <w:r w:rsidRPr="00534A4E">
        <w:rPr>
          <w:sz w:val="24"/>
          <w:szCs w:val="24"/>
        </w:rPr>
        <w:t xml:space="preserve"> a </w:t>
      </w:r>
      <w:proofErr w:type="spellStart"/>
      <w:r w:rsidRPr="00534A4E">
        <w:rPr>
          <w:sz w:val="24"/>
          <w:szCs w:val="24"/>
        </w:rPr>
        <w:t>focus</w:t>
      </w:r>
      <w:proofErr w:type="spellEnd"/>
      <w:r w:rsidRPr="00534A4E">
        <w:rPr>
          <w:sz w:val="24"/>
          <w:szCs w:val="24"/>
        </w:rPr>
        <w:t xml:space="preserve"> </w:t>
      </w:r>
      <w:proofErr w:type="spellStart"/>
      <w:r w:rsidRPr="00534A4E">
        <w:rPr>
          <w:sz w:val="24"/>
          <w:szCs w:val="24"/>
        </w:rPr>
        <w:t>on</w:t>
      </w:r>
      <w:proofErr w:type="spellEnd"/>
      <w:r w:rsidRPr="00534A4E">
        <w:rPr>
          <w:sz w:val="24"/>
          <w:szCs w:val="24"/>
        </w:rPr>
        <w:t xml:space="preserve"> </w:t>
      </w:r>
      <w:proofErr w:type="spellStart"/>
      <w:r w:rsidRPr="00534A4E">
        <w:rPr>
          <w:sz w:val="24"/>
          <w:szCs w:val="24"/>
        </w:rPr>
        <w:t>public</w:t>
      </w:r>
      <w:proofErr w:type="spellEnd"/>
      <w:r w:rsidRPr="00534A4E">
        <w:rPr>
          <w:sz w:val="24"/>
          <w:szCs w:val="24"/>
        </w:rPr>
        <w:t xml:space="preserve"> </w:t>
      </w:r>
      <w:proofErr w:type="spellStart"/>
      <w:r w:rsidRPr="00534A4E">
        <w:rPr>
          <w:sz w:val="24"/>
          <w:szCs w:val="24"/>
        </w:rPr>
        <w:t>works</w:t>
      </w:r>
      <w:proofErr w:type="spellEnd"/>
      <w:r w:rsidRPr="00534A4E">
        <w:rPr>
          <w:sz w:val="24"/>
          <w:szCs w:val="24"/>
        </w:rPr>
        <w:t xml:space="preserve"> in </w:t>
      </w:r>
      <w:proofErr w:type="spellStart"/>
      <w:r w:rsidRPr="00534A4E">
        <w:rPr>
          <w:sz w:val="24"/>
          <w:szCs w:val="24"/>
        </w:rPr>
        <w:t>order</w:t>
      </w:r>
      <w:proofErr w:type="spellEnd"/>
      <w:r w:rsidRPr="00534A4E">
        <w:rPr>
          <w:sz w:val="24"/>
          <w:szCs w:val="24"/>
        </w:rPr>
        <w:t xml:space="preserve"> </w:t>
      </w:r>
      <w:proofErr w:type="spellStart"/>
      <w:r w:rsidRPr="00534A4E">
        <w:rPr>
          <w:sz w:val="24"/>
          <w:szCs w:val="24"/>
        </w:rPr>
        <w:t>to</w:t>
      </w:r>
      <w:proofErr w:type="spellEnd"/>
      <w:r w:rsidRPr="00534A4E">
        <w:rPr>
          <w:sz w:val="24"/>
          <w:szCs w:val="24"/>
        </w:rPr>
        <w:t xml:space="preserve"> categorize </w:t>
      </w:r>
      <w:proofErr w:type="spellStart"/>
      <w:r w:rsidRPr="00534A4E">
        <w:rPr>
          <w:sz w:val="24"/>
          <w:szCs w:val="24"/>
        </w:rPr>
        <w:t>costs</w:t>
      </w:r>
      <w:proofErr w:type="spellEnd"/>
      <w:r w:rsidRPr="00534A4E">
        <w:rPr>
          <w:sz w:val="24"/>
          <w:szCs w:val="24"/>
        </w:rPr>
        <w:t xml:space="preserve"> in </w:t>
      </w:r>
      <w:proofErr w:type="spellStart"/>
      <w:r w:rsidRPr="00534A4E">
        <w:rPr>
          <w:sz w:val="24"/>
          <w:szCs w:val="24"/>
        </w:rPr>
        <w:t>order</w:t>
      </w:r>
      <w:proofErr w:type="spellEnd"/>
      <w:r w:rsidRPr="00534A4E">
        <w:rPr>
          <w:sz w:val="24"/>
          <w:szCs w:val="24"/>
        </w:rPr>
        <w:t xml:space="preserve"> </w:t>
      </w:r>
      <w:proofErr w:type="spellStart"/>
      <w:r w:rsidRPr="00534A4E">
        <w:rPr>
          <w:sz w:val="24"/>
          <w:szCs w:val="24"/>
        </w:rPr>
        <w:t>to</w:t>
      </w:r>
      <w:proofErr w:type="spellEnd"/>
      <w:r w:rsidRPr="00534A4E">
        <w:rPr>
          <w:sz w:val="24"/>
          <w:szCs w:val="24"/>
        </w:rPr>
        <w:t xml:space="preserve"> </w:t>
      </w:r>
      <w:proofErr w:type="spellStart"/>
      <w:r w:rsidRPr="00534A4E">
        <w:rPr>
          <w:sz w:val="24"/>
          <w:szCs w:val="24"/>
        </w:rPr>
        <w:t>facilitate</w:t>
      </w:r>
      <w:proofErr w:type="spellEnd"/>
      <w:r w:rsidRPr="00534A4E">
        <w:rPr>
          <w:sz w:val="24"/>
          <w:szCs w:val="24"/>
        </w:rPr>
        <w:t xml:space="preserve"> </w:t>
      </w:r>
      <w:proofErr w:type="spellStart"/>
      <w:r w:rsidRPr="00534A4E">
        <w:rPr>
          <w:sz w:val="24"/>
          <w:szCs w:val="24"/>
        </w:rPr>
        <w:t>the</w:t>
      </w:r>
      <w:proofErr w:type="spellEnd"/>
      <w:r w:rsidRPr="00534A4E">
        <w:rPr>
          <w:sz w:val="24"/>
          <w:szCs w:val="24"/>
        </w:rPr>
        <w:t xml:space="preserve"> </w:t>
      </w:r>
      <w:proofErr w:type="spellStart"/>
      <w:r w:rsidRPr="00534A4E">
        <w:rPr>
          <w:sz w:val="24"/>
          <w:szCs w:val="24"/>
        </w:rPr>
        <w:t>primary</w:t>
      </w:r>
      <w:proofErr w:type="spellEnd"/>
      <w:r w:rsidRPr="00534A4E">
        <w:rPr>
          <w:sz w:val="24"/>
          <w:szCs w:val="24"/>
        </w:rPr>
        <w:t xml:space="preserve"> </w:t>
      </w:r>
      <w:proofErr w:type="spellStart"/>
      <w:r w:rsidRPr="00534A4E">
        <w:rPr>
          <w:sz w:val="24"/>
          <w:szCs w:val="24"/>
        </w:rPr>
        <w:t>study</w:t>
      </w:r>
      <w:proofErr w:type="spellEnd"/>
      <w:r w:rsidRPr="00534A4E">
        <w:rPr>
          <w:sz w:val="24"/>
          <w:szCs w:val="24"/>
        </w:rPr>
        <w:t xml:space="preserve"> </w:t>
      </w:r>
      <w:proofErr w:type="spellStart"/>
      <w:r w:rsidRPr="00534A4E">
        <w:rPr>
          <w:sz w:val="24"/>
          <w:szCs w:val="24"/>
        </w:rPr>
        <w:t>of</w:t>
      </w:r>
      <w:proofErr w:type="spellEnd"/>
      <w:r w:rsidRPr="00534A4E">
        <w:rPr>
          <w:sz w:val="24"/>
          <w:szCs w:val="24"/>
        </w:rPr>
        <w:t xml:space="preserve"> </w:t>
      </w:r>
      <w:proofErr w:type="spellStart"/>
      <w:r w:rsidRPr="00534A4E">
        <w:rPr>
          <w:sz w:val="24"/>
          <w:szCs w:val="24"/>
        </w:rPr>
        <w:t>planning</w:t>
      </w:r>
      <w:proofErr w:type="spellEnd"/>
      <w:r w:rsidRPr="00534A4E">
        <w:rPr>
          <w:sz w:val="24"/>
          <w:szCs w:val="24"/>
        </w:rPr>
        <w:t xml:space="preserve"> </w:t>
      </w:r>
      <w:proofErr w:type="spellStart"/>
      <w:r w:rsidRPr="00534A4E">
        <w:rPr>
          <w:sz w:val="24"/>
          <w:szCs w:val="24"/>
        </w:rPr>
        <w:t>and</w:t>
      </w:r>
      <w:proofErr w:type="spellEnd"/>
      <w:r w:rsidRPr="00534A4E">
        <w:rPr>
          <w:sz w:val="24"/>
          <w:szCs w:val="24"/>
        </w:rPr>
        <w:t xml:space="preserve"> </w:t>
      </w:r>
      <w:proofErr w:type="spellStart"/>
      <w:r w:rsidRPr="00534A4E">
        <w:rPr>
          <w:sz w:val="24"/>
          <w:szCs w:val="24"/>
        </w:rPr>
        <w:t>control</w:t>
      </w:r>
      <w:proofErr w:type="spellEnd"/>
      <w:r w:rsidRPr="00534A4E">
        <w:rPr>
          <w:sz w:val="24"/>
          <w:szCs w:val="24"/>
        </w:rPr>
        <w:t xml:space="preserve"> </w:t>
      </w:r>
      <w:proofErr w:type="spellStart"/>
      <w:r w:rsidRPr="00534A4E">
        <w:rPr>
          <w:sz w:val="24"/>
          <w:szCs w:val="24"/>
        </w:rPr>
        <w:t>of</w:t>
      </w:r>
      <w:proofErr w:type="spellEnd"/>
      <w:r w:rsidRPr="00534A4E">
        <w:rPr>
          <w:sz w:val="24"/>
          <w:szCs w:val="24"/>
        </w:rPr>
        <w:t xml:space="preserve"> </w:t>
      </w:r>
      <w:proofErr w:type="spellStart"/>
      <w:r w:rsidRPr="00534A4E">
        <w:rPr>
          <w:sz w:val="24"/>
          <w:szCs w:val="24"/>
        </w:rPr>
        <w:t>expenses</w:t>
      </w:r>
      <w:proofErr w:type="spellEnd"/>
      <w:r w:rsidRPr="00534A4E">
        <w:rPr>
          <w:sz w:val="24"/>
          <w:szCs w:val="24"/>
        </w:rPr>
        <w:t xml:space="preserve"> </w:t>
      </w:r>
      <w:proofErr w:type="spellStart"/>
      <w:r w:rsidRPr="00534A4E">
        <w:rPr>
          <w:sz w:val="24"/>
          <w:szCs w:val="24"/>
        </w:rPr>
        <w:t>based</w:t>
      </w:r>
      <w:proofErr w:type="spellEnd"/>
      <w:r w:rsidRPr="00534A4E">
        <w:rPr>
          <w:sz w:val="24"/>
          <w:szCs w:val="24"/>
        </w:rPr>
        <w:t xml:space="preserve"> </w:t>
      </w:r>
      <w:proofErr w:type="spellStart"/>
      <w:r w:rsidRPr="00534A4E">
        <w:rPr>
          <w:sz w:val="24"/>
          <w:szCs w:val="24"/>
        </w:rPr>
        <w:t>on</w:t>
      </w:r>
      <w:proofErr w:type="spellEnd"/>
      <w:r w:rsidRPr="00534A4E">
        <w:rPr>
          <w:sz w:val="24"/>
          <w:szCs w:val="24"/>
        </w:rPr>
        <w:t xml:space="preserve"> </w:t>
      </w:r>
      <w:proofErr w:type="spellStart"/>
      <w:r w:rsidRPr="00534A4E">
        <w:rPr>
          <w:sz w:val="24"/>
          <w:szCs w:val="24"/>
        </w:rPr>
        <w:t>the</w:t>
      </w:r>
      <w:proofErr w:type="spellEnd"/>
      <w:r w:rsidRPr="00534A4E">
        <w:rPr>
          <w:sz w:val="24"/>
          <w:szCs w:val="24"/>
        </w:rPr>
        <w:t xml:space="preserve"> budget </w:t>
      </w:r>
      <w:proofErr w:type="spellStart"/>
      <w:r w:rsidRPr="00534A4E">
        <w:rPr>
          <w:sz w:val="24"/>
          <w:szCs w:val="24"/>
        </w:rPr>
        <w:t>spreadsheet</w:t>
      </w:r>
      <w:proofErr w:type="spellEnd"/>
      <w:r w:rsidRPr="00534A4E">
        <w:rPr>
          <w:sz w:val="24"/>
          <w:szCs w:val="24"/>
        </w:rPr>
        <w:t xml:space="preserve"> </w:t>
      </w:r>
      <w:proofErr w:type="spellStart"/>
      <w:r w:rsidRPr="00534A4E">
        <w:rPr>
          <w:sz w:val="24"/>
          <w:szCs w:val="24"/>
        </w:rPr>
        <w:t>attached</w:t>
      </w:r>
      <w:proofErr w:type="spellEnd"/>
      <w:r w:rsidRPr="00534A4E">
        <w:rPr>
          <w:sz w:val="24"/>
          <w:szCs w:val="24"/>
        </w:rPr>
        <w:t xml:space="preserve"> </w:t>
      </w:r>
      <w:proofErr w:type="spellStart"/>
      <w:r w:rsidRPr="00534A4E">
        <w:rPr>
          <w:sz w:val="24"/>
          <w:szCs w:val="24"/>
        </w:rPr>
        <w:t>to</w:t>
      </w:r>
      <w:proofErr w:type="spellEnd"/>
      <w:r w:rsidRPr="00534A4E">
        <w:rPr>
          <w:sz w:val="24"/>
          <w:szCs w:val="24"/>
        </w:rPr>
        <w:t xml:space="preserve"> </w:t>
      </w:r>
      <w:proofErr w:type="spellStart"/>
      <w:r w:rsidRPr="00534A4E">
        <w:rPr>
          <w:sz w:val="24"/>
          <w:szCs w:val="24"/>
        </w:rPr>
        <w:t>the</w:t>
      </w:r>
      <w:proofErr w:type="spellEnd"/>
      <w:r w:rsidRPr="00534A4E">
        <w:rPr>
          <w:sz w:val="24"/>
          <w:szCs w:val="24"/>
        </w:rPr>
        <w:t xml:space="preserve"> </w:t>
      </w:r>
      <w:proofErr w:type="spellStart"/>
      <w:r w:rsidRPr="00534A4E">
        <w:rPr>
          <w:sz w:val="24"/>
          <w:szCs w:val="24"/>
        </w:rPr>
        <w:t>public</w:t>
      </w:r>
      <w:proofErr w:type="spellEnd"/>
      <w:r w:rsidRPr="00534A4E">
        <w:rPr>
          <w:sz w:val="24"/>
          <w:szCs w:val="24"/>
        </w:rPr>
        <w:t xml:space="preserve"> </w:t>
      </w:r>
      <w:proofErr w:type="spellStart"/>
      <w:r w:rsidRPr="00534A4E">
        <w:rPr>
          <w:sz w:val="24"/>
          <w:szCs w:val="24"/>
        </w:rPr>
        <w:t>notice</w:t>
      </w:r>
      <w:proofErr w:type="spellEnd"/>
      <w:r w:rsidRPr="00534A4E">
        <w:rPr>
          <w:sz w:val="24"/>
          <w:szCs w:val="24"/>
        </w:rPr>
        <w:t xml:space="preserve"> </w:t>
      </w:r>
      <w:proofErr w:type="spellStart"/>
      <w:r w:rsidRPr="00534A4E">
        <w:rPr>
          <w:sz w:val="24"/>
          <w:szCs w:val="24"/>
        </w:rPr>
        <w:t>itself</w:t>
      </w:r>
      <w:proofErr w:type="spellEnd"/>
      <w:r w:rsidRPr="00534A4E">
        <w:rPr>
          <w:sz w:val="24"/>
          <w:szCs w:val="24"/>
        </w:rPr>
        <w:t xml:space="preserve"> </w:t>
      </w:r>
      <w:proofErr w:type="spellStart"/>
      <w:r w:rsidRPr="00534A4E">
        <w:rPr>
          <w:sz w:val="24"/>
          <w:szCs w:val="24"/>
        </w:rPr>
        <w:t>before</w:t>
      </w:r>
      <w:proofErr w:type="spellEnd"/>
      <w:r w:rsidRPr="00534A4E">
        <w:rPr>
          <w:sz w:val="24"/>
          <w:szCs w:val="24"/>
        </w:rPr>
        <w:t xml:space="preserve"> </w:t>
      </w:r>
      <w:proofErr w:type="spellStart"/>
      <w:r w:rsidRPr="00534A4E">
        <w:rPr>
          <w:sz w:val="24"/>
          <w:szCs w:val="24"/>
        </w:rPr>
        <w:t>the</w:t>
      </w:r>
      <w:proofErr w:type="spellEnd"/>
      <w:r w:rsidRPr="00534A4E">
        <w:rPr>
          <w:sz w:val="24"/>
          <w:szCs w:val="24"/>
        </w:rPr>
        <w:t xml:space="preserve"> </w:t>
      </w:r>
      <w:proofErr w:type="spellStart"/>
      <w:r w:rsidRPr="00534A4E">
        <w:rPr>
          <w:sz w:val="24"/>
          <w:szCs w:val="24"/>
        </w:rPr>
        <w:t>letter</w:t>
      </w:r>
      <w:proofErr w:type="spellEnd"/>
      <w:r w:rsidRPr="00534A4E">
        <w:rPr>
          <w:sz w:val="24"/>
          <w:szCs w:val="24"/>
        </w:rPr>
        <w:t xml:space="preserve"> </w:t>
      </w:r>
      <w:proofErr w:type="spellStart"/>
      <w:r w:rsidRPr="00534A4E">
        <w:rPr>
          <w:sz w:val="24"/>
          <w:szCs w:val="24"/>
        </w:rPr>
        <w:t>of</w:t>
      </w:r>
      <w:proofErr w:type="spellEnd"/>
      <w:r w:rsidRPr="00534A4E">
        <w:rPr>
          <w:sz w:val="24"/>
          <w:szCs w:val="24"/>
        </w:rPr>
        <w:t xml:space="preserve"> </w:t>
      </w:r>
      <w:proofErr w:type="spellStart"/>
      <w:r w:rsidRPr="00534A4E">
        <w:rPr>
          <w:sz w:val="24"/>
          <w:szCs w:val="24"/>
        </w:rPr>
        <w:t>proposal</w:t>
      </w:r>
      <w:proofErr w:type="spellEnd"/>
      <w:r w:rsidRPr="00534A4E">
        <w:rPr>
          <w:sz w:val="24"/>
          <w:szCs w:val="24"/>
        </w:rPr>
        <w:t xml:space="preserve"> </w:t>
      </w:r>
      <w:proofErr w:type="spellStart"/>
      <w:r w:rsidRPr="00534A4E">
        <w:rPr>
          <w:sz w:val="24"/>
          <w:szCs w:val="24"/>
        </w:rPr>
        <w:t>be</w:t>
      </w:r>
      <w:proofErr w:type="spellEnd"/>
      <w:r w:rsidRPr="00534A4E">
        <w:rPr>
          <w:sz w:val="24"/>
          <w:szCs w:val="24"/>
        </w:rPr>
        <w:t xml:space="preserve"> </w:t>
      </w:r>
      <w:proofErr w:type="spellStart"/>
      <w:r w:rsidRPr="00534A4E">
        <w:rPr>
          <w:sz w:val="24"/>
          <w:szCs w:val="24"/>
        </w:rPr>
        <w:t>per</w:t>
      </w:r>
      <w:r w:rsidRPr="00534A4E">
        <w:rPr>
          <w:sz w:val="24"/>
          <w:szCs w:val="24"/>
        </w:rPr>
        <w:t>formed</w:t>
      </w:r>
      <w:proofErr w:type="spellEnd"/>
      <w:r w:rsidRPr="00534A4E">
        <w:rPr>
          <w:sz w:val="24"/>
          <w:szCs w:val="24"/>
        </w:rPr>
        <w:t xml:space="preserve">. In </w:t>
      </w:r>
      <w:proofErr w:type="spellStart"/>
      <w:r w:rsidRPr="00534A4E">
        <w:rPr>
          <w:sz w:val="24"/>
          <w:szCs w:val="24"/>
        </w:rPr>
        <w:t>the</w:t>
      </w:r>
      <w:proofErr w:type="spellEnd"/>
      <w:r w:rsidRPr="00534A4E">
        <w:rPr>
          <w:sz w:val="24"/>
          <w:szCs w:val="24"/>
        </w:rPr>
        <w:t xml:space="preserve"> </w:t>
      </w:r>
      <w:proofErr w:type="spellStart"/>
      <w:r w:rsidRPr="00534A4E">
        <w:rPr>
          <w:sz w:val="24"/>
          <w:szCs w:val="24"/>
        </w:rPr>
        <w:t>methodology</w:t>
      </w:r>
      <w:proofErr w:type="spellEnd"/>
      <w:r w:rsidRPr="00534A4E">
        <w:rPr>
          <w:sz w:val="24"/>
          <w:szCs w:val="24"/>
        </w:rPr>
        <w:t xml:space="preserve">, a </w:t>
      </w:r>
      <w:proofErr w:type="spellStart"/>
      <w:r w:rsidRPr="00534A4E">
        <w:rPr>
          <w:sz w:val="24"/>
          <w:szCs w:val="24"/>
        </w:rPr>
        <w:t>spreadsheet</w:t>
      </w:r>
      <w:proofErr w:type="spellEnd"/>
      <w:r w:rsidRPr="00534A4E">
        <w:rPr>
          <w:sz w:val="24"/>
          <w:szCs w:val="24"/>
        </w:rPr>
        <w:t xml:space="preserve"> </w:t>
      </w:r>
      <w:proofErr w:type="spellStart"/>
      <w:r w:rsidRPr="00534A4E">
        <w:rPr>
          <w:sz w:val="24"/>
          <w:szCs w:val="24"/>
        </w:rPr>
        <w:t>published</w:t>
      </w:r>
      <w:proofErr w:type="spellEnd"/>
      <w:r w:rsidRPr="00534A4E">
        <w:rPr>
          <w:sz w:val="24"/>
          <w:szCs w:val="24"/>
        </w:rPr>
        <w:t xml:space="preserve"> as </w:t>
      </w:r>
      <w:proofErr w:type="spellStart"/>
      <w:r w:rsidRPr="00534A4E">
        <w:rPr>
          <w:sz w:val="24"/>
          <w:szCs w:val="24"/>
        </w:rPr>
        <w:t>an</w:t>
      </w:r>
      <w:proofErr w:type="spellEnd"/>
      <w:r w:rsidRPr="00534A4E">
        <w:rPr>
          <w:sz w:val="24"/>
          <w:szCs w:val="24"/>
        </w:rPr>
        <w:t xml:space="preserve"> </w:t>
      </w:r>
      <w:proofErr w:type="spellStart"/>
      <w:r w:rsidRPr="00534A4E">
        <w:rPr>
          <w:sz w:val="24"/>
          <w:szCs w:val="24"/>
        </w:rPr>
        <w:t>attachment</w:t>
      </w:r>
      <w:proofErr w:type="spellEnd"/>
      <w:r w:rsidRPr="00534A4E">
        <w:rPr>
          <w:sz w:val="24"/>
          <w:szCs w:val="24"/>
        </w:rPr>
        <w:t xml:space="preserve"> </w:t>
      </w:r>
      <w:proofErr w:type="spellStart"/>
      <w:r w:rsidRPr="00534A4E">
        <w:rPr>
          <w:sz w:val="24"/>
          <w:szCs w:val="24"/>
        </w:rPr>
        <w:t>to</w:t>
      </w:r>
      <w:proofErr w:type="spellEnd"/>
      <w:r w:rsidRPr="00534A4E">
        <w:rPr>
          <w:sz w:val="24"/>
          <w:szCs w:val="24"/>
        </w:rPr>
        <w:t xml:space="preserve"> a </w:t>
      </w:r>
      <w:proofErr w:type="spellStart"/>
      <w:r w:rsidRPr="00534A4E">
        <w:rPr>
          <w:sz w:val="24"/>
          <w:szCs w:val="24"/>
        </w:rPr>
        <w:t>bid</w:t>
      </w:r>
      <w:proofErr w:type="spellEnd"/>
      <w:r w:rsidRPr="00534A4E">
        <w:rPr>
          <w:sz w:val="24"/>
          <w:szCs w:val="24"/>
        </w:rPr>
        <w:t xml:space="preserve"> </w:t>
      </w:r>
      <w:proofErr w:type="spellStart"/>
      <w:r w:rsidRPr="00534A4E">
        <w:rPr>
          <w:sz w:val="24"/>
          <w:szCs w:val="24"/>
        </w:rPr>
        <w:t>notice</w:t>
      </w:r>
      <w:proofErr w:type="spellEnd"/>
      <w:r w:rsidRPr="00534A4E">
        <w:rPr>
          <w:sz w:val="24"/>
          <w:szCs w:val="24"/>
        </w:rPr>
        <w:t xml:space="preserve"> in </w:t>
      </w:r>
      <w:proofErr w:type="spellStart"/>
      <w:r w:rsidRPr="00534A4E">
        <w:rPr>
          <w:sz w:val="24"/>
          <w:szCs w:val="24"/>
        </w:rPr>
        <w:t>the</w:t>
      </w:r>
      <w:proofErr w:type="spellEnd"/>
      <w:r w:rsidRPr="00534A4E">
        <w:rPr>
          <w:sz w:val="24"/>
          <w:szCs w:val="24"/>
        </w:rPr>
        <w:t xml:space="preserve"> </w:t>
      </w:r>
      <w:proofErr w:type="spellStart"/>
      <w:r w:rsidRPr="00534A4E">
        <w:rPr>
          <w:sz w:val="24"/>
          <w:szCs w:val="24"/>
        </w:rPr>
        <w:t>city</w:t>
      </w:r>
      <w:proofErr w:type="spellEnd"/>
      <w:r w:rsidRPr="00534A4E">
        <w:rPr>
          <w:sz w:val="24"/>
          <w:szCs w:val="24"/>
        </w:rPr>
        <w:t xml:space="preserve"> </w:t>
      </w:r>
      <w:proofErr w:type="spellStart"/>
      <w:r w:rsidRPr="00534A4E">
        <w:rPr>
          <w:sz w:val="24"/>
          <w:szCs w:val="24"/>
        </w:rPr>
        <w:t>of</w:t>
      </w:r>
      <w:proofErr w:type="spellEnd"/>
      <w:r w:rsidRPr="00534A4E">
        <w:rPr>
          <w:sz w:val="24"/>
          <w:szCs w:val="24"/>
        </w:rPr>
        <w:t xml:space="preserve"> Macaé-RJ </w:t>
      </w:r>
      <w:proofErr w:type="spellStart"/>
      <w:r w:rsidRPr="00534A4E">
        <w:rPr>
          <w:sz w:val="24"/>
          <w:szCs w:val="24"/>
        </w:rPr>
        <w:t>was</w:t>
      </w:r>
      <w:proofErr w:type="spellEnd"/>
      <w:r w:rsidRPr="00534A4E">
        <w:rPr>
          <w:sz w:val="24"/>
          <w:szCs w:val="24"/>
        </w:rPr>
        <w:t xml:space="preserve"> </w:t>
      </w:r>
      <w:proofErr w:type="spellStart"/>
      <w:r w:rsidRPr="00534A4E">
        <w:rPr>
          <w:sz w:val="24"/>
          <w:szCs w:val="24"/>
        </w:rPr>
        <w:t>used</w:t>
      </w:r>
      <w:proofErr w:type="spellEnd"/>
      <w:r w:rsidRPr="00534A4E">
        <w:rPr>
          <w:sz w:val="24"/>
          <w:szCs w:val="24"/>
        </w:rPr>
        <w:t xml:space="preserve"> for </w:t>
      </w:r>
      <w:proofErr w:type="spellStart"/>
      <w:r w:rsidRPr="00534A4E">
        <w:rPr>
          <w:sz w:val="24"/>
          <w:szCs w:val="24"/>
        </w:rPr>
        <w:t>the</w:t>
      </w:r>
      <w:proofErr w:type="spellEnd"/>
      <w:r w:rsidRPr="00534A4E">
        <w:rPr>
          <w:sz w:val="24"/>
          <w:szCs w:val="24"/>
        </w:rPr>
        <w:t xml:space="preserve"> case </w:t>
      </w:r>
      <w:proofErr w:type="spellStart"/>
      <w:r w:rsidRPr="00534A4E">
        <w:rPr>
          <w:sz w:val="24"/>
          <w:szCs w:val="24"/>
        </w:rPr>
        <w:t>study</w:t>
      </w:r>
      <w:proofErr w:type="spellEnd"/>
      <w:r w:rsidRPr="00534A4E">
        <w:rPr>
          <w:sz w:val="24"/>
          <w:szCs w:val="24"/>
        </w:rPr>
        <w:t xml:space="preserve">, </w:t>
      </w:r>
      <w:proofErr w:type="spellStart"/>
      <w:r w:rsidRPr="00534A4E">
        <w:rPr>
          <w:sz w:val="24"/>
          <w:szCs w:val="24"/>
        </w:rPr>
        <w:t>whose</w:t>
      </w:r>
      <w:proofErr w:type="spellEnd"/>
      <w:r w:rsidRPr="00534A4E">
        <w:rPr>
          <w:sz w:val="24"/>
          <w:szCs w:val="24"/>
        </w:rPr>
        <w:t xml:space="preserve"> </w:t>
      </w:r>
      <w:proofErr w:type="spellStart"/>
      <w:r w:rsidRPr="00534A4E">
        <w:rPr>
          <w:sz w:val="24"/>
          <w:szCs w:val="24"/>
        </w:rPr>
        <w:t>object</w:t>
      </w:r>
      <w:proofErr w:type="spellEnd"/>
      <w:r w:rsidRPr="00534A4E">
        <w:rPr>
          <w:sz w:val="24"/>
          <w:szCs w:val="24"/>
        </w:rPr>
        <w:t xml:space="preserve"> </w:t>
      </w:r>
      <w:proofErr w:type="spellStart"/>
      <w:r w:rsidRPr="00534A4E">
        <w:rPr>
          <w:sz w:val="24"/>
          <w:szCs w:val="24"/>
        </w:rPr>
        <w:t>is</w:t>
      </w:r>
      <w:proofErr w:type="spellEnd"/>
      <w:r w:rsidRPr="00534A4E">
        <w:rPr>
          <w:sz w:val="24"/>
          <w:szCs w:val="24"/>
        </w:rPr>
        <w:t xml:space="preserve"> </w:t>
      </w:r>
      <w:proofErr w:type="spellStart"/>
      <w:r w:rsidRPr="00534A4E">
        <w:rPr>
          <w:sz w:val="24"/>
          <w:szCs w:val="24"/>
        </w:rPr>
        <w:t>the</w:t>
      </w:r>
      <w:proofErr w:type="spellEnd"/>
      <w:r w:rsidRPr="00534A4E">
        <w:rPr>
          <w:sz w:val="24"/>
          <w:szCs w:val="24"/>
        </w:rPr>
        <w:t xml:space="preserve"> </w:t>
      </w:r>
      <w:proofErr w:type="spellStart"/>
      <w:r w:rsidRPr="00534A4E">
        <w:rPr>
          <w:sz w:val="24"/>
          <w:szCs w:val="24"/>
        </w:rPr>
        <w:t>hiring</w:t>
      </w:r>
      <w:proofErr w:type="spellEnd"/>
      <w:r w:rsidRPr="00534A4E">
        <w:rPr>
          <w:sz w:val="24"/>
          <w:szCs w:val="24"/>
        </w:rPr>
        <w:t xml:space="preserve"> </w:t>
      </w:r>
      <w:proofErr w:type="spellStart"/>
      <w:r w:rsidRPr="00534A4E">
        <w:rPr>
          <w:sz w:val="24"/>
          <w:szCs w:val="24"/>
        </w:rPr>
        <w:t>of</w:t>
      </w:r>
      <w:proofErr w:type="spellEnd"/>
      <w:r w:rsidRPr="00534A4E">
        <w:rPr>
          <w:sz w:val="24"/>
          <w:szCs w:val="24"/>
        </w:rPr>
        <w:t xml:space="preserve"> a </w:t>
      </w:r>
      <w:proofErr w:type="spellStart"/>
      <w:r w:rsidRPr="00534A4E">
        <w:rPr>
          <w:sz w:val="24"/>
          <w:szCs w:val="24"/>
        </w:rPr>
        <w:t>specialized</w:t>
      </w:r>
      <w:proofErr w:type="spellEnd"/>
      <w:r w:rsidRPr="00534A4E">
        <w:rPr>
          <w:sz w:val="24"/>
          <w:szCs w:val="24"/>
        </w:rPr>
        <w:t xml:space="preserve"> </w:t>
      </w:r>
      <w:proofErr w:type="spellStart"/>
      <w:r w:rsidRPr="00534A4E">
        <w:rPr>
          <w:sz w:val="24"/>
          <w:szCs w:val="24"/>
        </w:rPr>
        <w:t>company</w:t>
      </w:r>
      <w:proofErr w:type="spellEnd"/>
      <w:r w:rsidRPr="00534A4E">
        <w:rPr>
          <w:sz w:val="24"/>
          <w:szCs w:val="24"/>
        </w:rPr>
        <w:t xml:space="preserve"> for </w:t>
      </w:r>
      <w:proofErr w:type="spellStart"/>
      <w:r w:rsidRPr="00534A4E">
        <w:rPr>
          <w:sz w:val="24"/>
          <w:szCs w:val="24"/>
        </w:rPr>
        <w:t>the</w:t>
      </w:r>
      <w:proofErr w:type="spellEnd"/>
      <w:r w:rsidRPr="00534A4E">
        <w:rPr>
          <w:sz w:val="24"/>
          <w:szCs w:val="24"/>
        </w:rPr>
        <w:t xml:space="preserve"> </w:t>
      </w:r>
      <w:proofErr w:type="spellStart"/>
      <w:r w:rsidRPr="00534A4E">
        <w:rPr>
          <w:sz w:val="24"/>
          <w:szCs w:val="24"/>
        </w:rPr>
        <w:t>renovation</w:t>
      </w:r>
      <w:proofErr w:type="spellEnd"/>
      <w:r w:rsidRPr="00534A4E">
        <w:rPr>
          <w:sz w:val="24"/>
          <w:szCs w:val="24"/>
        </w:rPr>
        <w:t xml:space="preserve"> </w:t>
      </w:r>
      <w:proofErr w:type="spellStart"/>
      <w:r w:rsidRPr="00534A4E">
        <w:rPr>
          <w:sz w:val="24"/>
          <w:szCs w:val="24"/>
        </w:rPr>
        <w:t>of</w:t>
      </w:r>
      <w:proofErr w:type="spellEnd"/>
      <w:r w:rsidRPr="00534A4E">
        <w:rPr>
          <w:sz w:val="24"/>
          <w:szCs w:val="24"/>
        </w:rPr>
        <w:t xml:space="preserve"> a Convention Center. </w:t>
      </w:r>
      <w:proofErr w:type="spellStart"/>
      <w:r w:rsidRPr="00534A4E">
        <w:rPr>
          <w:sz w:val="24"/>
          <w:szCs w:val="24"/>
        </w:rPr>
        <w:t>From</w:t>
      </w:r>
      <w:proofErr w:type="spellEnd"/>
      <w:r w:rsidRPr="00534A4E">
        <w:rPr>
          <w:sz w:val="24"/>
          <w:szCs w:val="24"/>
        </w:rPr>
        <w:t xml:space="preserve"> </w:t>
      </w:r>
      <w:proofErr w:type="spellStart"/>
      <w:r w:rsidRPr="00534A4E">
        <w:rPr>
          <w:sz w:val="24"/>
          <w:szCs w:val="24"/>
        </w:rPr>
        <w:t>the</w:t>
      </w:r>
      <w:proofErr w:type="spellEnd"/>
      <w:r w:rsidRPr="00534A4E">
        <w:rPr>
          <w:sz w:val="24"/>
          <w:szCs w:val="24"/>
        </w:rPr>
        <w:t xml:space="preserve"> </w:t>
      </w:r>
      <w:proofErr w:type="spellStart"/>
      <w:r w:rsidRPr="00534A4E">
        <w:rPr>
          <w:sz w:val="24"/>
          <w:szCs w:val="24"/>
        </w:rPr>
        <w:t>careful</w:t>
      </w:r>
      <w:proofErr w:type="spellEnd"/>
      <w:r w:rsidRPr="00534A4E">
        <w:rPr>
          <w:sz w:val="24"/>
          <w:szCs w:val="24"/>
        </w:rPr>
        <w:t xml:space="preserve"> </w:t>
      </w:r>
      <w:proofErr w:type="spellStart"/>
      <w:r w:rsidRPr="00534A4E">
        <w:rPr>
          <w:sz w:val="24"/>
          <w:szCs w:val="24"/>
        </w:rPr>
        <w:t>analys</w:t>
      </w:r>
      <w:r w:rsidRPr="00534A4E">
        <w:rPr>
          <w:sz w:val="24"/>
          <w:szCs w:val="24"/>
        </w:rPr>
        <w:t>is</w:t>
      </w:r>
      <w:proofErr w:type="spellEnd"/>
      <w:r w:rsidRPr="00534A4E">
        <w:rPr>
          <w:sz w:val="24"/>
          <w:szCs w:val="24"/>
        </w:rPr>
        <w:t xml:space="preserve"> </w:t>
      </w:r>
      <w:proofErr w:type="spellStart"/>
      <w:r w:rsidRPr="00534A4E">
        <w:rPr>
          <w:sz w:val="24"/>
          <w:szCs w:val="24"/>
        </w:rPr>
        <w:t>carried</w:t>
      </w:r>
      <w:proofErr w:type="spellEnd"/>
      <w:r w:rsidRPr="00534A4E">
        <w:rPr>
          <w:sz w:val="24"/>
          <w:szCs w:val="24"/>
        </w:rPr>
        <w:t xml:space="preserve"> out in </w:t>
      </w:r>
      <w:proofErr w:type="spellStart"/>
      <w:r w:rsidRPr="00534A4E">
        <w:rPr>
          <w:sz w:val="24"/>
          <w:szCs w:val="24"/>
        </w:rPr>
        <w:t>this</w:t>
      </w:r>
      <w:proofErr w:type="spellEnd"/>
      <w:r w:rsidRPr="00534A4E">
        <w:rPr>
          <w:sz w:val="24"/>
          <w:szCs w:val="24"/>
        </w:rPr>
        <w:t xml:space="preserve"> </w:t>
      </w:r>
      <w:proofErr w:type="spellStart"/>
      <w:r w:rsidRPr="00534A4E">
        <w:rPr>
          <w:sz w:val="24"/>
          <w:szCs w:val="24"/>
        </w:rPr>
        <w:t>work</w:t>
      </w:r>
      <w:proofErr w:type="spellEnd"/>
      <w:r w:rsidRPr="00534A4E">
        <w:rPr>
          <w:sz w:val="24"/>
          <w:szCs w:val="24"/>
        </w:rPr>
        <w:t xml:space="preserve">, it </w:t>
      </w:r>
      <w:proofErr w:type="spellStart"/>
      <w:r w:rsidRPr="00534A4E">
        <w:rPr>
          <w:sz w:val="24"/>
          <w:szCs w:val="24"/>
        </w:rPr>
        <w:t>was</w:t>
      </w:r>
      <w:proofErr w:type="spellEnd"/>
      <w:r w:rsidRPr="00534A4E">
        <w:rPr>
          <w:sz w:val="24"/>
          <w:szCs w:val="24"/>
        </w:rPr>
        <w:t xml:space="preserve"> </w:t>
      </w:r>
      <w:proofErr w:type="spellStart"/>
      <w:r w:rsidRPr="00534A4E">
        <w:rPr>
          <w:sz w:val="24"/>
          <w:szCs w:val="24"/>
        </w:rPr>
        <w:t>possible</w:t>
      </w:r>
      <w:proofErr w:type="spellEnd"/>
      <w:r w:rsidRPr="00534A4E">
        <w:rPr>
          <w:sz w:val="24"/>
          <w:szCs w:val="24"/>
        </w:rPr>
        <w:t xml:space="preserve"> </w:t>
      </w:r>
      <w:proofErr w:type="spellStart"/>
      <w:r w:rsidRPr="00534A4E">
        <w:rPr>
          <w:sz w:val="24"/>
          <w:szCs w:val="24"/>
        </w:rPr>
        <w:t>to</w:t>
      </w:r>
      <w:proofErr w:type="spellEnd"/>
      <w:r w:rsidRPr="00534A4E">
        <w:rPr>
          <w:sz w:val="24"/>
          <w:szCs w:val="24"/>
        </w:rPr>
        <w:t xml:space="preserve"> observe </w:t>
      </w:r>
      <w:proofErr w:type="spellStart"/>
      <w:r w:rsidRPr="00534A4E">
        <w:rPr>
          <w:sz w:val="24"/>
          <w:szCs w:val="24"/>
        </w:rPr>
        <w:t>that</w:t>
      </w:r>
      <w:proofErr w:type="spellEnd"/>
      <w:r w:rsidRPr="00534A4E">
        <w:rPr>
          <w:sz w:val="24"/>
          <w:szCs w:val="24"/>
        </w:rPr>
        <w:t xml:space="preserve"> </w:t>
      </w:r>
      <w:proofErr w:type="spellStart"/>
      <w:r w:rsidRPr="00534A4E">
        <w:rPr>
          <w:sz w:val="24"/>
          <w:szCs w:val="24"/>
        </w:rPr>
        <w:t>of</w:t>
      </w:r>
      <w:proofErr w:type="spellEnd"/>
      <w:r w:rsidRPr="00534A4E">
        <w:rPr>
          <w:sz w:val="24"/>
          <w:szCs w:val="24"/>
        </w:rPr>
        <w:t xml:space="preserve"> </w:t>
      </w:r>
      <w:proofErr w:type="spellStart"/>
      <w:r w:rsidRPr="00534A4E">
        <w:rPr>
          <w:sz w:val="24"/>
          <w:szCs w:val="24"/>
        </w:rPr>
        <w:t>the</w:t>
      </w:r>
      <w:proofErr w:type="spellEnd"/>
      <w:r w:rsidRPr="00534A4E">
        <w:rPr>
          <w:sz w:val="24"/>
          <w:szCs w:val="24"/>
        </w:rPr>
        <w:t xml:space="preserve"> BRL 47,422,963.36 </w:t>
      </w:r>
      <w:proofErr w:type="spellStart"/>
      <w:r w:rsidRPr="00534A4E">
        <w:rPr>
          <w:sz w:val="24"/>
          <w:szCs w:val="24"/>
        </w:rPr>
        <w:t>designated</w:t>
      </w:r>
      <w:proofErr w:type="spellEnd"/>
      <w:r w:rsidRPr="00534A4E">
        <w:rPr>
          <w:sz w:val="24"/>
          <w:szCs w:val="24"/>
        </w:rPr>
        <w:t xml:space="preserve"> as </w:t>
      </w:r>
      <w:proofErr w:type="spellStart"/>
      <w:r w:rsidRPr="00534A4E">
        <w:rPr>
          <w:sz w:val="24"/>
          <w:szCs w:val="24"/>
        </w:rPr>
        <w:t>the</w:t>
      </w:r>
      <w:proofErr w:type="spellEnd"/>
      <w:r w:rsidRPr="00534A4E">
        <w:rPr>
          <w:sz w:val="24"/>
          <w:szCs w:val="24"/>
        </w:rPr>
        <w:t xml:space="preserve"> total </w:t>
      </w:r>
      <w:proofErr w:type="spellStart"/>
      <w:r w:rsidRPr="00534A4E">
        <w:rPr>
          <w:sz w:val="24"/>
          <w:szCs w:val="24"/>
        </w:rPr>
        <w:t>cost</w:t>
      </w:r>
      <w:proofErr w:type="spellEnd"/>
      <w:r w:rsidRPr="00534A4E">
        <w:rPr>
          <w:sz w:val="24"/>
          <w:szCs w:val="24"/>
        </w:rPr>
        <w:t xml:space="preserve"> </w:t>
      </w:r>
      <w:proofErr w:type="spellStart"/>
      <w:r w:rsidRPr="00534A4E">
        <w:rPr>
          <w:sz w:val="24"/>
          <w:szCs w:val="24"/>
        </w:rPr>
        <w:t>of</w:t>
      </w:r>
      <w:proofErr w:type="spellEnd"/>
      <w:r w:rsidRPr="00534A4E">
        <w:rPr>
          <w:sz w:val="24"/>
          <w:szCs w:val="24"/>
        </w:rPr>
        <w:t xml:space="preserve"> </w:t>
      </w:r>
      <w:proofErr w:type="spellStart"/>
      <w:r w:rsidRPr="00534A4E">
        <w:rPr>
          <w:sz w:val="24"/>
          <w:szCs w:val="24"/>
        </w:rPr>
        <w:t>the</w:t>
      </w:r>
      <w:proofErr w:type="spellEnd"/>
      <w:r w:rsidRPr="00534A4E">
        <w:rPr>
          <w:sz w:val="24"/>
          <w:szCs w:val="24"/>
        </w:rPr>
        <w:t xml:space="preserve"> </w:t>
      </w:r>
      <w:proofErr w:type="spellStart"/>
      <w:r w:rsidRPr="00534A4E">
        <w:rPr>
          <w:sz w:val="24"/>
          <w:szCs w:val="24"/>
        </w:rPr>
        <w:t>renovation</w:t>
      </w:r>
      <w:proofErr w:type="spellEnd"/>
      <w:r w:rsidRPr="00534A4E">
        <w:rPr>
          <w:sz w:val="24"/>
          <w:szCs w:val="24"/>
        </w:rPr>
        <w:t xml:space="preserve"> </w:t>
      </w:r>
      <w:proofErr w:type="spellStart"/>
      <w:r w:rsidRPr="00534A4E">
        <w:rPr>
          <w:sz w:val="24"/>
          <w:szCs w:val="24"/>
        </w:rPr>
        <w:t>without</w:t>
      </w:r>
      <w:proofErr w:type="spellEnd"/>
      <w:r w:rsidRPr="00534A4E">
        <w:rPr>
          <w:sz w:val="24"/>
          <w:szCs w:val="24"/>
        </w:rPr>
        <w:t xml:space="preserve"> BDI, 20.05% </w:t>
      </w:r>
      <w:proofErr w:type="spellStart"/>
      <w:r w:rsidRPr="00534A4E">
        <w:rPr>
          <w:sz w:val="24"/>
          <w:szCs w:val="24"/>
        </w:rPr>
        <w:t>refers</w:t>
      </w:r>
      <w:proofErr w:type="spellEnd"/>
      <w:r w:rsidRPr="00534A4E">
        <w:rPr>
          <w:sz w:val="24"/>
          <w:szCs w:val="24"/>
        </w:rPr>
        <w:t xml:space="preserve"> </w:t>
      </w:r>
      <w:proofErr w:type="spellStart"/>
      <w:r w:rsidRPr="00534A4E">
        <w:rPr>
          <w:sz w:val="24"/>
          <w:szCs w:val="24"/>
        </w:rPr>
        <w:t>to</w:t>
      </w:r>
      <w:proofErr w:type="spellEnd"/>
      <w:r w:rsidRPr="00534A4E">
        <w:rPr>
          <w:sz w:val="24"/>
          <w:szCs w:val="24"/>
        </w:rPr>
        <w:t xml:space="preserve"> labor </w:t>
      </w:r>
      <w:proofErr w:type="spellStart"/>
      <w:r w:rsidRPr="00534A4E">
        <w:rPr>
          <w:sz w:val="24"/>
          <w:szCs w:val="24"/>
        </w:rPr>
        <w:t>costs</w:t>
      </w:r>
      <w:proofErr w:type="spellEnd"/>
      <w:r w:rsidRPr="00534A4E">
        <w:rPr>
          <w:sz w:val="24"/>
          <w:szCs w:val="24"/>
        </w:rPr>
        <w:t xml:space="preserve">, 72.93% </w:t>
      </w:r>
      <w:proofErr w:type="spellStart"/>
      <w:r w:rsidRPr="00534A4E">
        <w:rPr>
          <w:sz w:val="24"/>
          <w:szCs w:val="24"/>
        </w:rPr>
        <w:t>is</w:t>
      </w:r>
      <w:proofErr w:type="spellEnd"/>
      <w:r w:rsidRPr="00534A4E">
        <w:rPr>
          <w:sz w:val="24"/>
          <w:szCs w:val="24"/>
        </w:rPr>
        <w:t xml:space="preserve"> </w:t>
      </w:r>
      <w:proofErr w:type="spellStart"/>
      <w:r w:rsidRPr="00534A4E">
        <w:rPr>
          <w:sz w:val="24"/>
          <w:szCs w:val="24"/>
        </w:rPr>
        <w:t>designated</w:t>
      </w:r>
      <w:proofErr w:type="spellEnd"/>
      <w:r w:rsidRPr="00534A4E">
        <w:rPr>
          <w:sz w:val="24"/>
          <w:szCs w:val="24"/>
        </w:rPr>
        <w:t xml:space="preserve"> for </w:t>
      </w:r>
      <w:proofErr w:type="spellStart"/>
      <w:r w:rsidRPr="00534A4E">
        <w:rPr>
          <w:sz w:val="24"/>
          <w:szCs w:val="24"/>
        </w:rPr>
        <w:t>of</w:t>
      </w:r>
      <w:proofErr w:type="spellEnd"/>
      <w:r w:rsidRPr="00534A4E">
        <w:rPr>
          <w:sz w:val="24"/>
          <w:szCs w:val="24"/>
        </w:rPr>
        <w:t xml:space="preserve"> material </w:t>
      </w:r>
      <w:proofErr w:type="spellStart"/>
      <w:r w:rsidRPr="00534A4E">
        <w:rPr>
          <w:sz w:val="24"/>
          <w:szCs w:val="24"/>
        </w:rPr>
        <w:t>expenses</w:t>
      </w:r>
      <w:proofErr w:type="spellEnd"/>
      <w:r w:rsidRPr="00534A4E">
        <w:rPr>
          <w:sz w:val="24"/>
          <w:szCs w:val="24"/>
        </w:rPr>
        <w:t xml:space="preserve">, 2.78% </w:t>
      </w:r>
      <w:proofErr w:type="spellStart"/>
      <w:r w:rsidRPr="00534A4E">
        <w:rPr>
          <w:sz w:val="24"/>
          <w:szCs w:val="24"/>
        </w:rPr>
        <w:t>refer</w:t>
      </w:r>
      <w:proofErr w:type="spellEnd"/>
      <w:r w:rsidRPr="00534A4E">
        <w:rPr>
          <w:sz w:val="24"/>
          <w:szCs w:val="24"/>
        </w:rPr>
        <w:t xml:space="preserve"> </w:t>
      </w:r>
      <w:proofErr w:type="spellStart"/>
      <w:r w:rsidRPr="00534A4E">
        <w:rPr>
          <w:sz w:val="24"/>
          <w:szCs w:val="24"/>
        </w:rPr>
        <w:t>to</w:t>
      </w:r>
      <w:proofErr w:type="spellEnd"/>
      <w:r w:rsidRPr="00534A4E">
        <w:rPr>
          <w:sz w:val="24"/>
          <w:szCs w:val="24"/>
        </w:rPr>
        <w:t xml:space="preserve"> </w:t>
      </w:r>
      <w:proofErr w:type="spellStart"/>
      <w:r w:rsidRPr="00534A4E">
        <w:rPr>
          <w:sz w:val="24"/>
          <w:szCs w:val="24"/>
        </w:rPr>
        <w:t>equipment</w:t>
      </w:r>
      <w:proofErr w:type="spellEnd"/>
      <w:r w:rsidRPr="00534A4E">
        <w:rPr>
          <w:sz w:val="24"/>
          <w:szCs w:val="24"/>
        </w:rPr>
        <w:t xml:space="preserve"> </w:t>
      </w:r>
      <w:proofErr w:type="spellStart"/>
      <w:r w:rsidRPr="00534A4E">
        <w:rPr>
          <w:sz w:val="24"/>
          <w:szCs w:val="24"/>
        </w:rPr>
        <w:t>costs</w:t>
      </w:r>
      <w:proofErr w:type="spellEnd"/>
      <w:r w:rsidRPr="00534A4E">
        <w:rPr>
          <w:sz w:val="24"/>
          <w:szCs w:val="24"/>
        </w:rPr>
        <w:t xml:space="preserve"> as</w:t>
      </w:r>
      <w:r w:rsidRPr="00534A4E">
        <w:rPr>
          <w:sz w:val="24"/>
          <w:szCs w:val="24"/>
        </w:rPr>
        <w:t xml:space="preserve"> </w:t>
      </w:r>
      <w:proofErr w:type="spellStart"/>
      <w:r w:rsidRPr="00534A4E">
        <w:rPr>
          <w:sz w:val="24"/>
          <w:szCs w:val="24"/>
        </w:rPr>
        <w:t>well</w:t>
      </w:r>
      <w:proofErr w:type="spellEnd"/>
      <w:r w:rsidRPr="00534A4E">
        <w:rPr>
          <w:sz w:val="24"/>
          <w:szCs w:val="24"/>
        </w:rPr>
        <w:t xml:space="preserve"> as </w:t>
      </w:r>
      <w:proofErr w:type="spellStart"/>
      <w:r w:rsidRPr="00534A4E">
        <w:rPr>
          <w:sz w:val="24"/>
          <w:szCs w:val="24"/>
        </w:rPr>
        <w:t>their</w:t>
      </w:r>
      <w:proofErr w:type="spellEnd"/>
      <w:r w:rsidRPr="00534A4E">
        <w:rPr>
          <w:sz w:val="24"/>
          <w:szCs w:val="24"/>
        </w:rPr>
        <w:t xml:space="preserve"> </w:t>
      </w:r>
      <w:proofErr w:type="spellStart"/>
      <w:r w:rsidRPr="00534A4E">
        <w:rPr>
          <w:sz w:val="24"/>
          <w:szCs w:val="24"/>
        </w:rPr>
        <w:t>respective</w:t>
      </w:r>
      <w:proofErr w:type="spellEnd"/>
      <w:r w:rsidRPr="00534A4E">
        <w:rPr>
          <w:sz w:val="24"/>
          <w:szCs w:val="24"/>
        </w:rPr>
        <w:t xml:space="preserve"> </w:t>
      </w:r>
      <w:proofErr w:type="spellStart"/>
      <w:r w:rsidRPr="00534A4E">
        <w:rPr>
          <w:sz w:val="24"/>
          <w:szCs w:val="24"/>
        </w:rPr>
        <w:t>maintenance</w:t>
      </w:r>
      <w:proofErr w:type="spellEnd"/>
      <w:r w:rsidRPr="00534A4E">
        <w:rPr>
          <w:sz w:val="24"/>
          <w:szCs w:val="24"/>
        </w:rPr>
        <w:t xml:space="preserve"> </w:t>
      </w:r>
      <w:proofErr w:type="spellStart"/>
      <w:r w:rsidRPr="00534A4E">
        <w:rPr>
          <w:sz w:val="24"/>
          <w:szCs w:val="24"/>
        </w:rPr>
        <w:t>and</w:t>
      </w:r>
      <w:proofErr w:type="spellEnd"/>
      <w:r w:rsidRPr="00534A4E">
        <w:rPr>
          <w:sz w:val="24"/>
          <w:szCs w:val="24"/>
        </w:rPr>
        <w:t xml:space="preserve"> </w:t>
      </w:r>
      <w:proofErr w:type="spellStart"/>
      <w:r w:rsidRPr="00534A4E">
        <w:rPr>
          <w:sz w:val="24"/>
          <w:szCs w:val="24"/>
        </w:rPr>
        <w:t>another</w:t>
      </w:r>
      <w:proofErr w:type="spellEnd"/>
      <w:r w:rsidRPr="00534A4E">
        <w:rPr>
          <w:sz w:val="24"/>
          <w:szCs w:val="24"/>
        </w:rPr>
        <w:t xml:space="preserve"> 4.24% are </w:t>
      </w:r>
      <w:proofErr w:type="spellStart"/>
      <w:r w:rsidRPr="00534A4E">
        <w:rPr>
          <w:sz w:val="24"/>
          <w:szCs w:val="24"/>
        </w:rPr>
        <w:t>costs</w:t>
      </w:r>
      <w:proofErr w:type="spellEnd"/>
      <w:r w:rsidRPr="00534A4E">
        <w:rPr>
          <w:sz w:val="24"/>
          <w:szCs w:val="24"/>
        </w:rPr>
        <w:t xml:space="preserve"> </w:t>
      </w:r>
      <w:proofErr w:type="spellStart"/>
      <w:r w:rsidRPr="00534A4E">
        <w:rPr>
          <w:sz w:val="24"/>
          <w:szCs w:val="24"/>
        </w:rPr>
        <w:t>involving</w:t>
      </w:r>
      <w:proofErr w:type="spellEnd"/>
      <w:r w:rsidRPr="00534A4E">
        <w:rPr>
          <w:sz w:val="24"/>
          <w:szCs w:val="24"/>
        </w:rPr>
        <w:t xml:space="preserve"> local </w:t>
      </w:r>
      <w:proofErr w:type="spellStart"/>
      <w:r w:rsidRPr="00534A4E">
        <w:rPr>
          <w:sz w:val="24"/>
          <w:szCs w:val="24"/>
        </w:rPr>
        <w:t>administration</w:t>
      </w:r>
      <w:proofErr w:type="spellEnd"/>
      <w:r w:rsidRPr="00534A4E">
        <w:rPr>
          <w:sz w:val="24"/>
          <w:szCs w:val="24"/>
        </w:rPr>
        <w:t xml:space="preserve"> </w:t>
      </w:r>
      <w:proofErr w:type="spellStart"/>
      <w:r w:rsidRPr="00534A4E">
        <w:rPr>
          <w:sz w:val="24"/>
          <w:szCs w:val="24"/>
        </w:rPr>
        <w:t>and</w:t>
      </w:r>
      <w:proofErr w:type="spellEnd"/>
      <w:r w:rsidRPr="00534A4E">
        <w:rPr>
          <w:sz w:val="24"/>
          <w:szCs w:val="24"/>
        </w:rPr>
        <w:t xml:space="preserve"> </w:t>
      </w:r>
      <w:proofErr w:type="spellStart"/>
      <w:r w:rsidRPr="00534A4E">
        <w:rPr>
          <w:sz w:val="24"/>
          <w:szCs w:val="24"/>
        </w:rPr>
        <w:t>projects</w:t>
      </w:r>
      <w:proofErr w:type="spellEnd"/>
      <w:r w:rsidRPr="00534A4E">
        <w:rPr>
          <w:sz w:val="24"/>
          <w:szCs w:val="24"/>
        </w:rPr>
        <w:t xml:space="preserve">. </w:t>
      </w:r>
    </w:p>
    <w:p w14:paraId="19FB4804" w14:textId="7A2879DE" w:rsidR="008E20D3" w:rsidRPr="00534A4E" w:rsidRDefault="00BD1211">
      <w:pPr>
        <w:ind w:left="-5" w:right="0"/>
        <w:rPr>
          <w:sz w:val="24"/>
          <w:szCs w:val="24"/>
        </w:rPr>
      </w:pPr>
      <w:r w:rsidRPr="00534A4E">
        <w:rPr>
          <w:b/>
          <w:sz w:val="24"/>
          <w:szCs w:val="24"/>
        </w:rPr>
        <w:t>KEYWORDS:</w:t>
      </w:r>
      <w:r w:rsidRPr="00534A4E">
        <w:rPr>
          <w:sz w:val="24"/>
          <w:szCs w:val="24"/>
        </w:rPr>
        <w:t xml:space="preserve"> </w:t>
      </w:r>
      <w:proofErr w:type="spellStart"/>
      <w:r w:rsidRPr="00534A4E">
        <w:rPr>
          <w:sz w:val="24"/>
          <w:szCs w:val="24"/>
        </w:rPr>
        <w:t>Cost</w:t>
      </w:r>
      <w:proofErr w:type="spellEnd"/>
      <w:r w:rsidRPr="00534A4E">
        <w:rPr>
          <w:sz w:val="24"/>
          <w:szCs w:val="24"/>
        </w:rPr>
        <w:t xml:space="preserve"> </w:t>
      </w:r>
      <w:proofErr w:type="spellStart"/>
      <w:r w:rsidRPr="00534A4E">
        <w:rPr>
          <w:sz w:val="24"/>
          <w:szCs w:val="24"/>
        </w:rPr>
        <w:t>engineering</w:t>
      </w:r>
      <w:proofErr w:type="spellEnd"/>
      <w:r w:rsidRPr="00534A4E">
        <w:rPr>
          <w:sz w:val="24"/>
          <w:szCs w:val="24"/>
        </w:rPr>
        <w:t xml:space="preserve">. </w:t>
      </w:r>
      <w:proofErr w:type="spellStart"/>
      <w:r w:rsidRPr="00534A4E">
        <w:rPr>
          <w:sz w:val="24"/>
          <w:szCs w:val="24"/>
        </w:rPr>
        <w:t>Bidding</w:t>
      </w:r>
      <w:proofErr w:type="spellEnd"/>
      <w:r w:rsidRPr="00534A4E">
        <w:rPr>
          <w:sz w:val="24"/>
          <w:szCs w:val="24"/>
        </w:rPr>
        <w:t xml:space="preserve">. </w:t>
      </w:r>
      <w:proofErr w:type="spellStart"/>
      <w:r w:rsidRPr="00534A4E">
        <w:rPr>
          <w:sz w:val="24"/>
          <w:szCs w:val="24"/>
        </w:rPr>
        <w:t>Public</w:t>
      </w:r>
      <w:proofErr w:type="spellEnd"/>
      <w:r w:rsidRPr="00534A4E">
        <w:rPr>
          <w:sz w:val="24"/>
          <w:szCs w:val="24"/>
        </w:rPr>
        <w:t xml:space="preserve"> </w:t>
      </w:r>
      <w:proofErr w:type="spellStart"/>
      <w:r w:rsidRPr="00534A4E">
        <w:rPr>
          <w:sz w:val="24"/>
          <w:szCs w:val="24"/>
        </w:rPr>
        <w:t>work</w:t>
      </w:r>
      <w:proofErr w:type="spellEnd"/>
      <w:r w:rsidRPr="00534A4E">
        <w:rPr>
          <w:sz w:val="24"/>
          <w:szCs w:val="24"/>
        </w:rPr>
        <w:t xml:space="preserve">. Financial </w:t>
      </w:r>
      <w:proofErr w:type="spellStart"/>
      <w:r w:rsidRPr="00534A4E">
        <w:rPr>
          <w:sz w:val="24"/>
          <w:szCs w:val="24"/>
        </w:rPr>
        <w:t>analysis</w:t>
      </w:r>
      <w:proofErr w:type="spellEnd"/>
      <w:r w:rsidRPr="00534A4E">
        <w:rPr>
          <w:sz w:val="24"/>
          <w:szCs w:val="24"/>
        </w:rPr>
        <w:t xml:space="preserve">. </w:t>
      </w:r>
    </w:p>
    <w:p w14:paraId="0DBA5DDD" w14:textId="77777777" w:rsidR="008E20D3" w:rsidRPr="00534A4E" w:rsidRDefault="00BD1211">
      <w:pPr>
        <w:pStyle w:val="Ttulo1"/>
        <w:ind w:left="-5" w:right="0"/>
        <w:rPr>
          <w:sz w:val="24"/>
          <w:szCs w:val="24"/>
        </w:rPr>
      </w:pPr>
      <w:r w:rsidRPr="00534A4E">
        <w:rPr>
          <w:sz w:val="24"/>
          <w:szCs w:val="24"/>
        </w:rPr>
        <w:lastRenderedPageBreak/>
        <w:t>INTRODUÇÃO</w:t>
      </w:r>
      <w:r w:rsidRPr="00534A4E">
        <w:rPr>
          <w:rFonts w:ascii="Consolas" w:eastAsia="Consolas" w:hAnsi="Consolas" w:cs="Consolas"/>
          <w:b w:val="0"/>
          <w:sz w:val="24"/>
          <w:szCs w:val="24"/>
        </w:rPr>
        <w:t xml:space="preserve"> </w:t>
      </w:r>
      <w:r w:rsidRPr="00534A4E">
        <w:rPr>
          <w:sz w:val="24"/>
          <w:szCs w:val="24"/>
        </w:rPr>
        <w:t xml:space="preserve"> </w:t>
      </w:r>
    </w:p>
    <w:p w14:paraId="41AFAEC4" w14:textId="77777777" w:rsidR="008E20D3" w:rsidRPr="00534A4E" w:rsidRDefault="00BD1211">
      <w:pPr>
        <w:ind w:left="-15" w:right="0" w:firstLine="708"/>
        <w:rPr>
          <w:sz w:val="24"/>
          <w:szCs w:val="24"/>
        </w:rPr>
      </w:pPr>
      <w:r w:rsidRPr="00534A4E">
        <w:rPr>
          <w:sz w:val="24"/>
          <w:szCs w:val="24"/>
        </w:rPr>
        <w:t xml:space="preserve">A técnica orçamentária envolve a identificação, descrição, quantificação, análise e valorização de uma grande série e de itens, requerendo, portanto, muita atenção de habilidade (Mattos, 2019). A orçamentação de uma obra pública é feita antes que o edital </w:t>
      </w:r>
      <w:r w:rsidRPr="00534A4E">
        <w:rPr>
          <w:sz w:val="24"/>
          <w:szCs w:val="24"/>
        </w:rPr>
        <w:t xml:space="preserve">da licitação seja publicado, a planilha orçamentária elaborada pelo órgão de administração pública é incluída ao edital como um dos anexos. </w:t>
      </w:r>
    </w:p>
    <w:p w14:paraId="00715FF6" w14:textId="77777777" w:rsidR="005D7D7E" w:rsidRPr="00534A4E" w:rsidRDefault="00BD1211" w:rsidP="005D7D7E">
      <w:pPr>
        <w:spacing w:after="0" w:line="247" w:lineRule="auto"/>
        <w:ind w:left="0" w:right="0" w:firstLine="709"/>
        <w:rPr>
          <w:sz w:val="24"/>
          <w:szCs w:val="24"/>
        </w:rPr>
      </w:pPr>
      <w:r w:rsidRPr="00534A4E">
        <w:rPr>
          <w:sz w:val="24"/>
          <w:szCs w:val="24"/>
        </w:rPr>
        <w:t>Como o processo de orçamentação é feito muito antes da execução da obra é necessário atentar-se para que a planilha</w:t>
      </w:r>
      <w:r w:rsidRPr="00534A4E">
        <w:rPr>
          <w:sz w:val="24"/>
          <w:szCs w:val="24"/>
        </w:rPr>
        <w:t xml:space="preserve"> orçamentária não possua falhas, evitando assim os pedidos de aditivo. Cabe a empresa concorrente interessada no objeto da licitação, analisar a planilha exposta no edital de licitações com a finalidade de estudar o melhor desconto que pode ser dado ao val</w:t>
      </w:r>
      <w:r w:rsidRPr="00534A4E">
        <w:rPr>
          <w:sz w:val="24"/>
          <w:szCs w:val="24"/>
        </w:rPr>
        <w:t>or global da planilha de forma que o valor continue exequível e principalmente que mantenha margem de lucratividade.</w:t>
      </w:r>
    </w:p>
    <w:p w14:paraId="72D43F8B" w14:textId="39FED655" w:rsidR="008E20D3" w:rsidRPr="00534A4E" w:rsidRDefault="00BD1211" w:rsidP="005D7D7E">
      <w:pPr>
        <w:spacing w:after="0" w:line="247" w:lineRule="auto"/>
        <w:ind w:left="0" w:right="0" w:firstLine="709"/>
        <w:rPr>
          <w:sz w:val="24"/>
          <w:szCs w:val="24"/>
        </w:rPr>
      </w:pPr>
      <w:r w:rsidRPr="00534A4E">
        <w:rPr>
          <w:sz w:val="24"/>
          <w:szCs w:val="24"/>
        </w:rPr>
        <w:t>A análise financeira utilizada como estudo de caso deste trabalho consiste em categorizar o empenho financeiro do empreendimento, separando</w:t>
      </w:r>
      <w:r w:rsidRPr="00534A4E">
        <w:rPr>
          <w:sz w:val="24"/>
          <w:szCs w:val="24"/>
        </w:rPr>
        <w:t>-os em quatro categorias: Mão-de-obra, material, equipamentos e administração local. Desta forma, a diretoria da empresa pode estudar junto à sua equipe técnica a melhor maneira de economizar os recursos financeiros durante a execução da obra e decidir a m</w:t>
      </w:r>
      <w:r w:rsidRPr="00534A4E">
        <w:rPr>
          <w:sz w:val="24"/>
          <w:szCs w:val="24"/>
        </w:rPr>
        <w:t xml:space="preserve">elhor opção de desconto para a elaboração da carta proposta que é enviada no “Envelope B” aberto no dia da licitação. </w:t>
      </w:r>
    </w:p>
    <w:p w14:paraId="5396BC6B" w14:textId="77777777" w:rsidR="008E20D3" w:rsidRPr="00534A4E" w:rsidRDefault="00BD1211" w:rsidP="005D7D7E">
      <w:pPr>
        <w:spacing w:after="0" w:line="247" w:lineRule="auto"/>
        <w:ind w:left="0" w:right="0" w:firstLine="709"/>
        <w:rPr>
          <w:sz w:val="24"/>
          <w:szCs w:val="24"/>
        </w:rPr>
      </w:pPr>
      <w:r w:rsidRPr="00534A4E">
        <w:rPr>
          <w:sz w:val="24"/>
          <w:szCs w:val="24"/>
        </w:rPr>
        <w:t>A finalidade da licitação, na maioria de suas modalidades é escolher dentre as propostas o menor valor, desde que exequível, ofertado ent</w:t>
      </w:r>
      <w:r w:rsidRPr="00534A4E">
        <w:rPr>
          <w:sz w:val="24"/>
          <w:szCs w:val="24"/>
        </w:rPr>
        <w:t>re os concorrentes, empresas licitantes interessadas no objeto que está sendo licitado. Entretanto, este valor precisa fazer sentido para a empresa. Pois não basta ganhar a licitação com o menor preço se este preço for inviável para a execução do empreendi</w:t>
      </w:r>
      <w:r w:rsidRPr="00534A4E">
        <w:rPr>
          <w:sz w:val="24"/>
          <w:szCs w:val="24"/>
        </w:rPr>
        <w:t xml:space="preserve">mento ou se não obtiver lucros. Por isto, dá-se a necessidade de estudar de forma minuciosa a planilha proposta no edital antes mesmo que a empresa decida a sua participação no certame. </w:t>
      </w:r>
    </w:p>
    <w:p w14:paraId="198DEF28" w14:textId="77777777" w:rsidR="00CF4F74" w:rsidRPr="00534A4E" w:rsidRDefault="00CF4F74">
      <w:pPr>
        <w:ind w:left="-15" w:right="0" w:firstLine="708"/>
        <w:rPr>
          <w:sz w:val="24"/>
          <w:szCs w:val="24"/>
        </w:rPr>
      </w:pPr>
    </w:p>
    <w:p w14:paraId="21825E37" w14:textId="6DD5447B" w:rsidR="00CF4F74" w:rsidRPr="00534A4E" w:rsidRDefault="00CF4F74" w:rsidP="00CF4F74">
      <w:pPr>
        <w:ind w:right="-1"/>
        <w:rPr>
          <w:b/>
          <w:sz w:val="24"/>
          <w:szCs w:val="24"/>
        </w:rPr>
      </w:pPr>
      <w:r w:rsidRPr="00534A4E">
        <w:rPr>
          <w:b/>
          <w:sz w:val="24"/>
          <w:szCs w:val="24"/>
        </w:rPr>
        <w:t xml:space="preserve">MATERIAL E MÉTODOS </w:t>
      </w:r>
    </w:p>
    <w:p w14:paraId="49EDE754" w14:textId="0BCF0BD9" w:rsidR="00CF4F74" w:rsidRPr="00534A4E" w:rsidRDefault="00CF4F74" w:rsidP="005D7D7E">
      <w:pPr>
        <w:ind w:right="-1" w:firstLine="698"/>
        <w:rPr>
          <w:sz w:val="24"/>
          <w:szCs w:val="24"/>
        </w:rPr>
      </w:pPr>
      <w:r w:rsidRPr="00534A4E">
        <w:rPr>
          <w:sz w:val="24"/>
          <w:szCs w:val="24"/>
        </w:rPr>
        <w:t>A área de estudo foi um processo licitatório ocorrido na cidade de Macaé, localizada na região dos lagos do Estado do Rio de Janeiro, cujo objeto é a contratação de empresa especializada para reforma de um Centro de Convenções.</w:t>
      </w:r>
    </w:p>
    <w:p w14:paraId="1359A7B8" w14:textId="7D02D07F" w:rsidR="00CF4F74" w:rsidRPr="00534A4E" w:rsidRDefault="00CF4F74" w:rsidP="005D7D7E">
      <w:pPr>
        <w:ind w:right="-1" w:firstLine="698"/>
        <w:rPr>
          <w:sz w:val="24"/>
          <w:szCs w:val="24"/>
        </w:rPr>
      </w:pPr>
      <w:r w:rsidRPr="00534A4E">
        <w:rPr>
          <w:sz w:val="24"/>
          <w:szCs w:val="24"/>
        </w:rPr>
        <w:t xml:space="preserve">Neste trabalho, a base principal de dados utilizada são os arquivos disponibilizados no próprio Edital Licitatório, que </w:t>
      </w:r>
      <w:proofErr w:type="gramStart"/>
      <w:r w:rsidRPr="00534A4E">
        <w:rPr>
          <w:sz w:val="24"/>
          <w:szCs w:val="24"/>
        </w:rPr>
        <w:t>encontram-se</w:t>
      </w:r>
      <w:proofErr w:type="gramEnd"/>
      <w:r w:rsidRPr="00534A4E">
        <w:rPr>
          <w:sz w:val="24"/>
          <w:szCs w:val="24"/>
        </w:rPr>
        <w:t xml:space="preserve"> no endereço eletrônico da Prefeitura Municipal de Macaé.</w:t>
      </w:r>
    </w:p>
    <w:p w14:paraId="1ED23476" w14:textId="29B10ECF" w:rsidR="00CF4F74" w:rsidRPr="00534A4E" w:rsidRDefault="00CF4F74" w:rsidP="005D7D7E">
      <w:pPr>
        <w:ind w:right="-1" w:firstLine="698"/>
        <w:rPr>
          <w:sz w:val="24"/>
          <w:szCs w:val="24"/>
        </w:rPr>
      </w:pPr>
      <w:r w:rsidRPr="00534A4E">
        <w:rPr>
          <w:sz w:val="24"/>
          <w:szCs w:val="24"/>
        </w:rPr>
        <w:t>A metodologia adotada apoia-se no levantamento bibliográfico acerca de métodos de análise de processos licitatórios, bem como no estudo e uso de imagens das planilhas do EMOP 2023.</w:t>
      </w:r>
    </w:p>
    <w:p w14:paraId="033F996E" w14:textId="77777777" w:rsidR="00D02766" w:rsidRPr="00534A4E" w:rsidRDefault="00CF4F74" w:rsidP="005D7D7E">
      <w:pPr>
        <w:ind w:right="-1" w:firstLine="698"/>
        <w:rPr>
          <w:sz w:val="24"/>
          <w:szCs w:val="24"/>
        </w:rPr>
      </w:pPr>
      <w:r w:rsidRPr="00534A4E">
        <w:rPr>
          <w:sz w:val="24"/>
          <w:szCs w:val="24"/>
        </w:rPr>
        <w:t>No primeiro momento, a pesquisa teórica encontra-se alicerçada no levantamento bibliográfico que comtempla o estudo aqui proposto, englobando a complexidade do tema apresentado</w:t>
      </w:r>
      <w:r w:rsidR="00D02766" w:rsidRPr="00534A4E">
        <w:rPr>
          <w:sz w:val="24"/>
          <w:szCs w:val="24"/>
        </w:rPr>
        <w:t xml:space="preserve">. </w:t>
      </w:r>
    </w:p>
    <w:p w14:paraId="2243F6B1" w14:textId="63A9C6E1" w:rsidR="00CF4F74" w:rsidRPr="00534A4E" w:rsidRDefault="00D02766" w:rsidP="005D7D7E">
      <w:pPr>
        <w:ind w:right="-1" w:firstLine="698"/>
        <w:rPr>
          <w:sz w:val="24"/>
          <w:szCs w:val="24"/>
        </w:rPr>
      </w:pPr>
      <w:r w:rsidRPr="00534A4E">
        <w:rPr>
          <w:sz w:val="24"/>
          <w:szCs w:val="24"/>
        </w:rPr>
        <w:t>Destaca-se o Autor Aldo Dórea de Mattos que serviu de suporte teórico básico para esse estudo.</w:t>
      </w:r>
    </w:p>
    <w:p w14:paraId="7430B05B" w14:textId="695FB595" w:rsidR="00D02766" w:rsidRPr="00534A4E" w:rsidRDefault="00D02766" w:rsidP="00CF4F74">
      <w:pPr>
        <w:ind w:right="-1"/>
        <w:rPr>
          <w:sz w:val="24"/>
          <w:szCs w:val="24"/>
        </w:rPr>
      </w:pPr>
      <w:r w:rsidRPr="00534A4E">
        <w:rPr>
          <w:sz w:val="24"/>
          <w:szCs w:val="24"/>
        </w:rPr>
        <w:t xml:space="preserve">Planilhas de relação de Custo e do </w:t>
      </w:r>
      <w:r w:rsidR="005D7D7E" w:rsidRPr="00534A4E">
        <w:rPr>
          <w:sz w:val="24"/>
          <w:szCs w:val="24"/>
        </w:rPr>
        <w:t>EMOP</w:t>
      </w:r>
      <w:r w:rsidRPr="00534A4E">
        <w:rPr>
          <w:sz w:val="24"/>
          <w:szCs w:val="24"/>
        </w:rPr>
        <w:t xml:space="preserve"> também serviram para exemplificar e auxiliar no desenvolvimento da fundamentação deste artigo, visando a análise financeira de um objeto de licitação com foco em obras públicas. </w:t>
      </w:r>
    </w:p>
    <w:p w14:paraId="7C9864FC" w14:textId="17C5F856" w:rsidR="00D02766" w:rsidRPr="00534A4E" w:rsidRDefault="00D02766" w:rsidP="005D7D7E">
      <w:pPr>
        <w:ind w:right="-1" w:firstLine="698"/>
        <w:rPr>
          <w:sz w:val="24"/>
          <w:szCs w:val="24"/>
        </w:rPr>
      </w:pPr>
      <w:r w:rsidRPr="00534A4E">
        <w:rPr>
          <w:sz w:val="24"/>
          <w:szCs w:val="24"/>
        </w:rPr>
        <w:lastRenderedPageBreak/>
        <w:t>O arquivo CONCORRÊNCIA PÚBLICA - SEMINF Nº 014/2022, disponibilizado pela prefeitura Municipal de Macaé em sua página digital, permitiu a análise cuidadosa de dados para elaboração deste documento, com o fito de mostrar</w:t>
      </w:r>
      <w:r w:rsidR="00CC0F5D" w:rsidRPr="00534A4E">
        <w:rPr>
          <w:sz w:val="24"/>
          <w:szCs w:val="24"/>
        </w:rPr>
        <w:t xml:space="preserve"> os principais itens abordados para execução da obra que era objeto da licitação, bem como permitindo que todos os custos pudessem ser devidamente destinados corretamente as suas áreas de origem tais como mão de obra, materiais e BDI.</w:t>
      </w:r>
    </w:p>
    <w:p w14:paraId="622ACAC2" w14:textId="77777777" w:rsidR="00CC0F5D" w:rsidRPr="00534A4E" w:rsidRDefault="00CC0F5D" w:rsidP="00CF4F74">
      <w:pPr>
        <w:ind w:right="-1"/>
        <w:rPr>
          <w:sz w:val="24"/>
          <w:szCs w:val="24"/>
        </w:rPr>
      </w:pPr>
    </w:p>
    <w:p w14:paraId="58C737B3" w14:textId="2165313C" w:rsidR="008E20D3" w:rsidRPr="00534A4E" w:rsidRDefault="008E20D3">
      <w:pPr>
        <w:spacing w:after="0" w:line="259" w:lineRule="auto"/>
        <w:ind w:left="708" w:right="0" w:firstLine="0"/>
        <w:jc w:val="left"/>
        <w:rPr>
          <w:sz w:val="24"/>
          <w:szCs w:val="24"/>
        </w:rPr>
      </w:pPr>
    </w:p>
    <w:p w14:paraId="6DB0BE44" w14:textId="77777777" w:rsidR="008E20D3" w:rsidRPr="00534A4E" w:rsidRDefault="00BD1211">
      <w:pPr>
        <w:pStyle w:val="Ttulo1"/>
        <w:ind w:left="-5" w:right="0"/>
        <w:rPr>
          <w:sz w:val="24"/>
          <w:szCs w:val="24"/>
        </w:rPr>
      </w:pPr>
      <w:r w:rsidRPr="00534A4E">
        <w:rPr>
          <w:sz w:val="24"/>
          <w:szCs w:val="24"/>
        </w:rPr>
        <w:t xml:space="preserve">RESULTADOS E DISCUSSÃO </w:t>
      </w:r>
    </w:p>
    <w:p w14:paraId="30803AA7" w14:textId="67A10A5E" w:rsidR="008E20D3" w:rsidRPr="00534A4E" w:rsidRDefault="00BD1211" w:rsidP="00534A4E">
      <w:pPr>
        <w:ind w:left="-5" w:right="0" w:firstLine="713"/>
        <w:rPr>
          <w:sz w:val="24"/>
          <w:szCs w:val="24"/>
        </w:rPr>
      </w:pPr>
      <w:r w:rsidRPr="00534A4E">
        <w:rPr>
          <w:sz w:val="24"/>
          <w:szCs w:val="24"/>
        </w:rPr>
        <w:t>A planilha orçamentária é composta por vários serviços separados por etapa. Na etapa de orçamentação é utilizada uma tabela de referências de preços, neste estudo de caso é a tabela EMOP. Cada serviço é descriminado em uma CPU (Composição de Preços Unitár</w:t>
      </w:r>
      <w:r w:rsidRPr="00534A4E">
        <w:rPr>
          <w:sz w:val="24"/>
          <w:szCs w:val="24"/>
        </w:rPr>
        <w:t xml:space="preserve">ios) que relaciona os insumos a um coeficiente que é um valor multiplicativo que indica a porcentagem de cada unidade do insumo é necessária para realização daquela unidade de serviço. </w:t>
      </w:r>
    </w:p>
    <w:p w14:paraId="4256ED90" w14:textId="77777777" w:rsidR="008E20D3" w:rsidRDefault="00BD1211">
      <w:pPr>
        <w:spacing w:after="0" w:line="259" w:lineRule="auto"/>
        <w:ind w:left="0" w:right="0" w:firstLine="0"/>
        <w:jc w:val="left"/>
      </w:pPr>
      <w:r>
        <w:t xml:space="preserve"> </w:t>
      </w:r>
    </w:p>
    <w:p w14:paraId="1BE47F70" w14:textId="77777777" w:rsidR="008E20D3" w:rsidRDefault="00BD1211">
      <w:pPr>
        <w:spacing w:after="5" w:line="259" w:lineRule="auto"/>
        <w:ind w:right="4"/>
        <w:jc w:val="center"/>
      </w:pPr>
      <w:r>
        <w:rPr>
          <w:b/>
          <w:sz w:val="18"/>
        </w:rPr>
        <w:t xml:space="preserve">Figura 1 - CPU do serviço de Placa de identificação </w:t>
      </w:r>
    </w:p>
    <w:p w14:paraId="27F9A22A" w14:textId="77777777" w:rsidR="008E20D3" w:rsidRDefault="00BD1211">
      <w:pPr>
        <w:spacing w:after="0" w:line="259" w:lineRule="auto"/>
        <w:ind w:left="0" w:right="258" w:firstLine="0"/>
        <w:jc w:val="right"/>
      </w:pPr>
      <w:r>
        <w:rPr>
          <w:noProof/>
        </w:rPr>
        <w:drawing>
          <wp:inline distT="0" distB="0" distL="0" distR="0" wp14:anchorId="3562FCF6" wp14:editId="318F2F5A">
            <wp:extent cx="5369560" cy="2420620"/>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7"/>
                    <a:stretch>
                      <a:fillRect/>
                    </a:stretch>
                  </pic:blipFill>
                  <pic:spPr>
                    <a:xfrm>
                      <a:off x="0" y="0"/>
                      <a:ext cx="5369560" cy="2420620"/>
                    </a:xfrm>
                    <a:prstGeom prst="rect">
                      <a:avLst/>
                    </a:prstGeom>
                  </pic:spPr>
                </pic:pic>
              </a:graphicData>
            </a:graphic>
          </wp:inline>
        </w:drawing>
      </w:r>
      <w:r>
        <w:t xml:space="preserve"> </w:t>
      </w:r>
    </w:p>
    <w:p w14:paraId="2ECEDAC2" w14:textId="77777777" w:rsidR="008E20D3" w:rsidRDefault="00BD1211">
      <w:pPr>
        <w:spacing w:after="0" w:line="259" w:lineRule="auto"/>
        <w:ind w:right="7"/>
        <w:jc w:val="center"/>
      </w:pPr>
      <w:r>
        <w:rPr>
          <w:sz w:val="18"/>
        </w:rPr>
        <w:t xml:space="preserve">FONTE: EMOP </w:t>
      </w:r>
      <w:r>
        <w:rPr>
          <w:sz w:val="18"/>
        </w:rPr>
        <w:t xml:space="preserve">(2023) </w:t>
      </w:r>
    </w:p>
    <w:p w14:paraId="50AB127A" w14:textId="77777777" w:rsidR="008E20D3" w:rsidRDefault="00BD1211">
      <w:pPr>
        <w:spacing w:after="0" w:line="259" w:lineRule="auto"/>
        <w:ind w:left="0" w:right="0" w:firstLine="0"/>
        <w:jc w:val="left"/>
      </w:pPr>
      <w:r>
        <w:t xml:space="preserve"> </w:t>
      </w:r>
      <w:r>
        <w:tab/>
        <w:t xml:space="preserve"> </w:t>
      </w:r>
    </w:p>
    <w:p w14:paraId="4DF0AF88" w14:textId="051B5BCB" w:rsidR="008E20D3" w:rsidRPr="00534A4E" w:rsidRDefault="00BD1211" w:rsidP="00534A4E">
      <w:pPr>
        <w:ind w:left="-5" w:right="0" w:firstLine="713"/>
        <w:rPr>
          <w:sz w:val="24"/>
          <w:szCs w:val="24"/>
        </w:rPr>
      </w:pPr>
      <w:r w:rsidRPr="00534A4E">
        <w:rPr>
          <w:sz w:val="24"/>
          <w:szCs w:val="24"/>
        </w:rPr>
        <w:t>Uma composição é a junção de 2 ou mais insumos, podendo dentro dos insumos conter uma outra composição. Também existem CPUs compostas por apenas um insumo e seu respectivo coeficiente. Conforme a figura acima demonstra, o serviço descriminado</w:t>
      </w:r>
      <w:r w:rsidRPr="00534A4E">
        <w:rPr>
          <w:sz w:val="24"/>
          <w:szCs w:val="24"/>
        </w:rPr>
        <w:t xml:space="preserve"> é a instalação de placa de identificação de obra, cuja unidade é em metro quadrado. Cada um dos insumos também tem a sua unidade de medida (Quilos, horas, metros etc.) o coeficiente indica quanto de cada insumo é necessário para que seja realizado o servi</w:t>
      </w:r>
      <w:r w:rsidRPr="00534A4E">
        <w:rPr>
          <w:sz w:val="24"/>
          <w:szCs w:val="24"/>
        </w:rPr>
        <w:t xml:space="preserve">ço. O insumo do prego, por exemplo, necessita de 0,3 kg para cada 1 m² de instalação da placa de identificação de obra, sendo que o quilo do prego custa R$18,34, então a quantidade de prego necessária custará R$5,50 para cada m² de placa. </w:t>
      </w:r>
    </w:p>
    <w:p w14:paraId="258ACCC0" w14:textId="059D289B" w:rsidR="008E20D3" w:rsidRPr="00534A4E" w:rsidRDefault="00BD1211">
      <w:pPr>
        <w:ind w:left="-5" w:right="0"/>
        <w:rPr>
          <w:sz w:val="24"/>
          <w:szCs w:val="24"/>
        </w:rPr>
      </w:pPr>
      <w:r w:rsidRPr="00534A4E">
        <w:rPr>
          <w:sz w:val="24"/>
          <w:szCs w:val="24"/>
        </w:rPr>
        <w:t xml:space="preserve"> </w:t>
      </w:r>
      <w:r w:rsidR="00534A4E">
        <w:rPr>
          <w:sz w:val="24"/>
          <w:szCs w:val="24"/>
        </w:rPr>
        <w:tab/>
      </w:r>
      <w:r w:rsidRPr="00534A4E">
        <w:rPr>
          <w:sz w:val="24"/>
          <w:szCs w:val="24"/>
        </w:rPr>
        <w:t>A CPU permite q</w:t>
      </w:r>
      <w:r w:rsidRPr="00534A4E">
        <w:rPr>
          <w:sz w:val="24"/>
          <w:szCs w:val="24"/>
        </w:rPr>
        <w:t xml:space="preserve">ue seja quantificado o insumo não somente no valor, mas na quantidade final. Ainda usando o insumo do prego como exemplo, uma placa de 21,80m² necessita deste insumo 6,54kg, pois a cada 1m² são necessários 300g de prego. Se o quilo do prego custa. </w:t>
      </w:r>
    </w:p>
    <w:p w14:paraId="58DD9B25" w14:textId="792B7C13" w:rsidR="008E20D3" w:rsidRPr="00534A4E" w:rsidRDefault="00BD1211" w:rsidP="00534A4E">
      <w:pPr>
        <w:ind w:left="-5" w:right="0" w:firstLine="713"/>
        <w:rPr>
          <w:sz w:val="24"/>
          <w:szCs w:val="24"/>
        </w:rPr>
      </w:pPr>
      <w:r w:rsidRPr="00534A4E">
        <w:rPr>
          <w:sz w:val="24"/>
          <w:szCs w:val="24"/>
        </w:rPr>
        <w:t>Ao sep</w:t>
      </w:r>
      <w:r w:rsidRPr="00534A4E">
        <w:rPr>
          <w:sz w:val="24"/>
          <w:szCs w:val="24"/>
        </w:rPr>
        <w:t xml:space="preserve">arar a composição por categoria é possível visualizar dentro do valor total do serviço, quanto será investido em material, mão-de-obra, equipamentos e outros. </w:t>
      </w:r>
    </w:p>
    <w:p w14:paraId="4895B986" w14:textId="1443E6D5" w:rsidR="008E20D3" w:rsidRPr="00534A4E" w:rsidRDefault="00BD1211">
      <w:pPr>
        <w:ind w:left="-5" w:right="0"/>
        <w:rPr>
          <w:sz w:val="24"/>
          <w:szCs w:val="24"/>
        </w:rPr>
      </w:pPr>
      <w:r w:rsidRPr="00534A4E">
        <w:rPr>
          <w:sz w:val="24"/>
          <w:szCs w:val="24"/>
        </w:rPr>
        <w:lastRenderedPageBreak/>
        <w:t xml:space="preserve"> </w:t>
      </w:r>
      <w:r w:rsidR="00534A4E">
        <w:rPr>
          <w:sz w:val="24"/>
          <w:szCs w:val="24"/>
        </w:rPr>
        <w:tab/>
      </w:r>
      <w:r w:rsidRPr="00534A4E">
        <w:rPr>
          <w:sz w:val="24"/>
          <w:szCs w:val="24"/>
        </w:rPr>
        <w:t>Na composição exemplificada na Figura 1, o valor total da instalação de placa é de R$539,52, is</w:t>
      </w:r>
      <w:r w:rsidRPr="00534A4E">
        <w:rPr>
          <w:sz w:val="24"/>
          <w:szCs w:val="24"/>
        </w:rPr>
        <w:t>to significa que se a placa irá medir 21,80m², o valor total do serviço será de R$11.761,54. Assim como é possível verificar através do agrupamento por categorias que esta composição para este quantitativo, dos R$11.761,54, R$4.322,07 se refere ao custo da</w:t>
      </w:r>
      <w:r w:rsidRPr="00534A4E">
        <w:rPr>
          <w:sz w:val="24"/>
          <w:szCs w:val="24"/>
        </w:rPr>
        <w:t xml:space="preserve"> mão-de-obra para este serviço, R$3.752,87 é referente ao custo do material e R$3.686,60 são os gastos com equipamentos. </w:t>
      </w:r>
    </w:p>
    <w:p w14:paraId="32FB36C7" w14:textId="77777777" w:rsidR="008E20D3" w:rsidRPr="00534A4E" w:rsidRDefault="00BD1211" w:rsidP="00534A4E">
      <w:pPr>
        <w:ind w:left="-5" w:right="0" w:firstLine="713"/>
        <w:rPr>
          <w:sz w:val="24"/>
          <w:szCs w:val="24"/>
        </w:rPr>
      </w:pPr>
      <w:r w:rsidRPr="00534A4E">
        <w:rPr>
          <w:sz w:val="24"/>
          <w:szCs w:val="24"/>
        </w:rPr>
        <w:t xml:space="preserve"> Assim, todas as composições de preço unitário contidas na planilha orçamentárias devem ser analisadas de forma a compreender o serviç</w:t>
      </w:r>
      <w:r w:rsidRPr="00534A4E">
        <w:rPr>
          <w:sz w:val="24"/>
          <w:szCs w:val="24"/>
        </w:rPr>
        <w:t>o e agrupar os custos por categoria. A planilha utilizada para este estudo contém 20 páginas e 200 composições e todas foram observadas de forma analítica e agrupadas por categorias, gerando assim a “Planilha de relação dos custos”. Uma das páginas pode se</w:t>
      </w:r>
      <w:r w:rsidRPr="00534A4E">
        <w:rPr>
          <w:sz w:val="24"/>
          <w:szCs w:val="24"/>
        </w:rPr>
        <w:t xml:space="preserve">r observada a seguir: </w:t>
      </w:r>
    </w:p>
    <w:p w14:paraId="371390E6" w14:textId="7B4B213F" w:rsidR="00CC0F5D" w:rsidRDefault="00BD1211">
      <w:pPr>
        <w:spacing w:after="0" w:line="259" w:lineRule="auto"/>
        <w:ind w:left="0" w:right="0" w:firstLine="0"/>
        <w:jc w:val="left"/>
      </w:pPr>
      <w:r w:rsidRPr="00534A4E">
        <w:rPr>
          <w:sz w:val="24"/>
          <w:szCs w:val="24"/>
        </w:rPr>
        <w:t xml:space="preserve"> </w:t>
      </w:r>
    </w:p>
    <w:p w14:paraId="1427EF34" w14:textId="77777777" w:rsidR="008E20D3" w:rsidRDefault="00BD1211">
      <w:pPr>
        <w:spacing w:after="5" w:line="259" w:lineRule="auto"/>
        <w:ind w:right="4"/>
        <w:jc w:val="center"/>
      </w:pPr>
      <w:r>
        <w:rPr>
          <w:b/>
          <w:sz w:val="18"/>
        </w:rPr>
        <w:t>Figura 2 – Planilha de Relação dos Custos</w:t>
      </w:r>
      <w:r>
        <w:t xml:space="preserve"> </w:t>
      </w:r>
    </w:p>
    <w:p w14:paraId="5B10594F" w14:textId="77777777" w:rsidR="008E20D3" w:rsidRDefault="00BD1211">
      <w:pPr>
        <w:spacing w:after="0" w:line="259" w:lineRule="auto"/>
        <w:ind w:left="0" w:right="82" w:firstLine="0"/>
        <w:jc w:val="right"/>
      </w:pPr>
      <w:r>
        <w:rPr>
          <w:noProof/>
        </w:rPr>
        <w:drawing>
          <wp:inline distT="0" distB="0" distL="0" distR="0" wp14:anchorId="5D185C32" wp14:editId="0A95D577">
            <wp:extent cx="5593080" cy="3698240"/>
            <wp:effectExtent l="0" t="0" r="0" b="0"/>
            <wp:docPr id="577" name="Picture 577"/>
            <wp:cNvGraphicFramePr/>
            <a:graphic xmlns:a="http://schemas.openxmlformats.org/drawingml/2006/main">
              <a:graphicData uri="http://schemas.openxmlformats.org/drawingml/2006/picture">
                <pic:pic xmlns:pic="http://schemas.openxmlformats.org/drawingml/2006/picture">
                  <pic:nvPicPr>
                    <pic:cNvPr id="577" name="Picture 577"/>
                    <pic:cNvPicPr/>
                  </pic:nvPicPr>
                  <pic:blipFill>
                    <a:blip r:embed="rId8"/>
                    <a:stretch>
                      <a:fillRect/>
                    </a:stretch>
                  </pic:blipFill>
                  <pic:spPr>
                    <a:xfrm>
                      <a:off x="0" y="0"/>
                      <a:ext cx="5593080" cy="3698240"/>
                    </a:xfrm>
                    <a:prstGeom prst="rect">
                      <a:avLst/>
                    </a:prstGeom>
                  </pic:spPr>
                </pic:pic>
              </a:graphicData>
            </a:graphic>
          </wp:inline>
        </w:drawing>
      </w:r>
      <w:r>
        <w:t xml:space="preserve"> </w:t>
      </w:r>
    </w:p>
    <w:p w14:paraId="1D3F071D" w14:textId="77777777" w:rsidR="008E20D3" w:rsidRDefault="00BD1211">
      <w:pPr>
        <w:spacing w:after="0" w:line="259" w:lineRule="auto"/>
        <w:ind w:right="2"/>
        <w:jc w:val="center"/>
      </w:pPr>
      <w:r>
        <w:rPr>
          <w:sz w:val="18"/>
        </w:rPr>
        <w:t xml:space="preserve">FONTE: Própria (2023) </w:t>
      </w:r>
    </w:p>
    <w:p w14:paraId="1600AE17" w14:textId="77777777" w:rsidR="008E20D3" w:rsidRDefault="00BD1211">
      <w:pPr>
        <w:spacing w:after="0" w:line="259" w:lineRule="auto"/>
        <w:ind w:left="708" w:right="0" w:firstLine="0"/>
        <w:jc w:val="left"/>
      </w:pPr>
      <w:r>
        <w:rPr>
          <w:sz w:val="20"/>
        </w:rPr>
        <w:t xml:space="preserve"> </w:t>
      </w:r>
    </w:p>
    <w:p w14:paraId="332377EE" w14:textId="77777777" w:rsidR="008E20D3" w:rsidRPr="00534A4E" w:rsidRDefault="00BD1211">
      <w:pPr>
        <w:spacing w:after="0"/>
        <w:ind w:left="-15" w:right="0" w:firstLine="698"/>
        <w:rPr>
          <w:sz w:val="24"/>
          <w:szCs w:val="24"/>
        </w:rPr>
      </w:pPr>
      <w:r w:rsidRPr="00534A4E">
        <w:rPr>
          <w:sz w:val="24"/>
          <w:szCs w:val="24"/>
        </w:rPr>
        <w:t>Todas as composições da planilha orçamentária foram analisadas sem o BDI de acordo com a data-base exposta na planilha anexada ao edital de licitações. Através da planilha de relação dos custos é possível ter dimensão dentre os serviços descriminados previ</w:t>
      </w:r>
      <w:r w:rsidRPr="00534A4E">
        <w:rPr>
          <w:sz w:val="24"/>
          <w:szCs w:val="24"/>
        </w:rPr>
        <w:t xml:space="preserve">stos pelo órgão público para a obra em questão, quanto recurso financeiro é necessário para cada categoria. </w:t>
      </w:r>
    </w:p>
    <w:p w14:paraId="72BCBB8D" w14:textId="77777777" w:rsidR="008E20D3" w:rsidRPr="00534A4E" w:rsidRDefault="00BD1211">
      <w:pPr>
        <w:spacing w:after="0"/>
        <w:ind w:left="-15" w:right="0" w:firstLine="698"/>
        <w:rPr>
          <w:sz w:val="24"/>
          <w:szCs w:val="24"/>
        </w:rPr>
      </w:pPr>
      <w:r w:rsidRPr="00534A4E">
        <w:rPr>
          <w:sz w:val="24"/>
          <w:szCs w:val="24"/>
        </w:rPr>
        <w:t>Quando a empresa licitante possui interesse em terceirizar a mão-de-obra, a planilha de relação dos custos, impõe um teto limite para o orçamento d</w:t>
      </w:r>
      <w:r w:rsidRPr="00534A4E">
        <w:rPr>
          <w:sz w:val="24"/>
          <w:szCs w:val="24"/>
        </w:rPr>
        <w:t xml:space="preserve">a contratação assim como em outras negociações, através desta planilha é possível estabelecer o teto para negociações de acordo com a margem de lucro desejada. </w:t>
      </w:r>
    </w:p>
    <w:p w14:paraId="76F4EACB" w14:textId="792F5379" w:rsidR="008E20D3" w:rsidRPr="00534A4E" w:rsidRDefault="00BD1211">
      <w:pPr>
        <w:spacing w:after="0"/>
        <w:ind w:left="-15" w:right="0" w:firstLine="698"/>
        <w:rPr>
          <w:sz w:val="24"/>
          <w:szCs w:val="24"/>
        </w:rPr>
      </w:pPr>
      <w:r w:rsidRPr="00534A4E">
        <w:rPr>
          <w:sz w:val="24"/>
          <w:szCs w:val="24"/>
        </w:rPr>
        <w:t>Algumas empresas calculam erroneamente os gastos com mão-de-obra em 40% como convenção. Uma cul</w:t>
      </w:r>
      <w:r w:rsidRPr="00534A4E">
        <w:rPr>
          <w:sz w:val="24"/>
          <w:szCs w:val="24"/>
        </w:rPr>
        <w:t xml:space="preserve">tura que gera muitos prejuízos, pois conforme a Figura 2 demonstra, nesta </w:t>
      </w:r>
      <w:r w:rsidRPr="00534A4E">
        <w:rPr>
          <w:sz w:val="24"/>
          <w:szCs w:val="24"/>
        </w:rPr>
        <w:lastRenderedPageBreak/>
        <w:t>obra do estudo por exemplo, a mão-de-obra prevista neste orçamento é de 20,05%. Contudo, se a negociação da mão-de-obra fosse baseada em 40% como muitas empresas fazem, a empresa lev</w:t>
      </w:r>
      <w:r w:rsidRPr="00534A4E">
        <w:rPr>
          <w:sz w:val="24"/>
          <w:szCs w:val="24"/>
        </w:rPr>
        <w:t xml:space="preserve">aria prejuízo sendo que a planilha indica que </w:t>
      </w:r>
      <w:r w:rsidR="005D7D7E" w:rsidRPr="00534A4E">
        <w:rPr>
          <w:sz w:val="24"/>
          <w:szCs w:val="24"/>
        </w:rPr>
        <w:t>os gastos com a mão-de-obra não podem</w:t>
      </w:r>
      <w:r w:rsidRPr="00534A4E">
        <w:rPr>
          <w:sz w:val="24"/>
          <w:szCs w:val="24"/>
        </w:rPr>
        <w:t xml:space="preserve"> superar ao percentual de 20,05%. </w:t>
      </w:r>
    </w:p>
    <w:p w14:paraId="2CE075F8" w14:textId="77777777" w:rsidR="008E20D3" w:rsidRPr="00534A4E" w:rsidRDefault="00BD1211">
      <w:pPr>
        <w:spacing w:after="0" w:line="259" w:lineRule="auto"/>
        <w:ind w:left="708" w:right="0" w:firstLine="0"/>
        <w:jc w:val="left"/>
        <w:rPr>
          <w:sz w:val="24"/>
          <w:szCs w:val="24"/>
        </w:rPr>
      </w:pPr>
      <w:r w:rsidRPr="00534A4E">
        <w:rPr>
          <w:sz w:val="24"/>
          <w:szCs w:val="24"/>
        </w:rPr>
        <w:t xml:space="preserve"> </w:t>
      </w:r>
    </w:p>
    <w:p w14:paraId="4D3092D3" w14:textId="77777777" w:rsidR="008E20D3" w:rsidRPr="00534A4E" w:rsidRDefault="00BD1211">
      <w:pPr>
        <w:pStyle w:val="Ttulo1"/>
        <w:ind w:left="-5" w:right="0"/>
        <w:rPr>
          <w:sz w:val="24"/>
          <w:szCs w:val="24"/>
        </w:rPr>
      </w:pPr>
      <w:r w:rsidRPr="00534A4E">
        <w:rPr>
          <w:sz w:val="24"/>
          <w:szCs w:val="24"/>
        </w:rPr>
        <w:t xml:space="preserve">CONCLUSÃO </w:t>
      </w:r>
    </w:p>
    <w:p w14:paraId="023709ED" w14:textId="77777777" w:rsidR="005D7D7E" w:rsidRPr="00534A4E" w:rsidRDefault="00BD1211">
      <w:pPr>
        <w:ind w:left="-5" w:right="0"/>
        <w:rPr>
          <w:sz w:val="24"/>
          <w:szCs w:val="24"/>
        </w:rPr>
      </w:pPr>
      <w:r w:rsidRPr="00534A4E">
        <w:rPr>
          <w:sz w:val="24"/>
          <w:szCs w:val="24"/>
        </w:rPr>
        <w:t xml:space="preserve"> </w:t>
      </w:r>
      <w:r w:rsidR="005D7D7E" w:rsidRPr="00534A4E">
        <w:rPr>
          <w:sz w:val="24"/>
          <w:szCs w:val="24"/>
        </w:rPr>
        <w:tab/>
      </w:r>
      <w:r w:rsidRPr="00534A4E">
        <w:rPr>
          <w:sz w:val="24"/>
          <w:szCs w:val="24"/>
        </w:rPr>
        <w:t>Através da planilha de relação de custos feita para análise financeira de uma licitação para reforma de centro de conve</w:t>
      </w:r>
      <w:r w:rsidRPr="00534A4E">
        <w:rPr>
          <w:sz w:val="24"/>
          <w:szCs w:val="24"/>
        </w:rPr>
        <w:t>nções, foi possível analisar que se a carta proposta fosse realizada com o preço cheio, por exemplo, as negociações para a mão-de-obra não poderiam superar ao valor de R$9.509.872,43 correspondente a 20,05% do valor total da reforma.</w:t>
      </w:r>
    </w:p>
    <w:p w14:paraId="7809D8B2" w14:textId="28A2EA11" w:rsidR="008E20D3" w:rsidRPr="00534A4E" w:rsidRDefault="00BD1211" w:rsidP="005D7D7E">
      <w:pPr>
        <w:ind w:left="-5" w:right="0" w:firstLine="713"/>
        <w:rPr>
          <w:sz w:val="24"/>
          <w:szCs w:val="24"/>
        </w:rPr>
      </w:pPr>
      <w:r w:rsidRPr="00534A4E">
        <w:rPr>
          <w:sz w:val="24"/>
          <w:szCs w:val="24"/>
        </w:rPr>
        <w:t>Conclui-se que as nego</w:t>
      </w:r>
      <w:r w:rsidRPr="00534A4E">
        <w:rPr>
          <w:sz w:val="24"/>
          <w:szCs w:val="24"/>
        </w:rPr>
        <w:t xml:space="preserve">ciações deverão ser feitas mantendo este valor como o teto. </w:t>
      </w:r>
      <w:r w:rsidRPr="00534A4E">
        <w:rPr>
          <w:sz w:val="24"/>
          <w:szCs w:val="24"/>
        </w:rPr>
        <w:t>Da mesma forma, as cotações de materiais não podem ultrapassar os custos acima de 72,93% do valor total da obra, assim como as negociações de alugueis de equipamento juntamente com a sua manuten</w:t>
      </w:r>
      <w:r w:rsidRPr="00534A4E">
        <w:rPr>
          <w:sz w:val="24"/>
          <w:szCs w:val="24"/>
        </w:rPr>
        <w:t xml:space="preserve">ção </w:t>
      </w:r>
      <w:r w:rsidRPr="00534A4E">
        <w:rPr>
          <w:sz w:val="24"/>
          <w:szCs w:val="24"/>
        </w:rPr>
        <w:t xml:space="preserve">não podem superar ao valor de R$1.318.126,96, ou seja, 2,78% do valor global sem BDI. Por fim, pode-se concluir que os custos com administração e projetos não podem superar 4,24%. </w:t>
      </w:r>
    </w:p>
    <w:p w14:paraId="2CCB0B51" w14:textId="0CFA6745" w:rsidR="008E20D3" w:rsidRPr="00534A4E" w:rsidRDefault="00BD1211">
      <w:pPr>
        <w:ind w:left="-5" w:right="0"/>
        <w:rPr>
          <w:sz w:val="24"/>
          <w:szCs w:val="24"/>
        </w:rPr>
      </w:pPr>
      <w:r w:rsidRPr="00534A4E">
        <w:rPr>
          <w:sz w:val="24"/>
          <w:szCs w:val="24"/>
        </w:rPr>
        <w:t xml:space="preserve"> </w:t>
      </w:r>
      <w:r w:rsidR="005D7D7E" w:rsidRPr="00534A4E">
        <w:rPr>
          <w:sz w:val="24"/>
          <w:szCs w:val="24"/>
        </w:rPr>
        <w:tab/>
      </w:r>
      <w:r w:rsidRPr="00534A4E">
        <w:rPr>
          <w:sz w:val="24"/>
          <w:szCs w:val="24"/>
        </w:rPr>
        <w:t>Conclui-se que a implementação desta análise financeira é fundament</w:t>
      </w:r>
      <w:r w:rsidRPr="00534A4E">
        <w:rPr>
          <w:sz w:val="24"/>
          <w:szCs w:val="24"/>
        </w:rPr>
        <w:t>al para a tomada de decisões em reuniões da diretoria para escolher o desconto ideal que será dado na proposta comercial que será aberta no dia do certame de forma que seja possível organiza-se para propor um preço que possa concorrer para ganhar como o me</w:t>
      </w:r>
      <w:r w:rsidRPr="00534A4E">
        <w:rPr>
          <w:sz w:val="24"/>
          <w:szCs w:val="24"/>
        </w:rPr>
        <w:t xml:space="preserve">nor da licitação sem que haja prejuízo. A análise, inclusive, pode definir a participação da empresa no processo licitatório ou não. </w:t>
      </w:r>
    </w:p>
    <w:p w14:paraId="047DF693" w14:textId="77777777" w:rsidR="008E20D3" w:rsidRPr="00534A4E" w:rsidRDefault="00BD1211">
      <w:pPr>
        <w:spacing w:after="0" w:line="259" w:lineRule="auto"/>
        <w:ind w:left="0" w:right="0" w:firstLine="0"/>
        <w:jc w:val="left"/>
        <w:rPr>
          <w:sz w:val="24"/>
          <w:szCs w:val="24"/>
        </w:rPr>
      </w:pPr>
      <w:r w:rsidRPr="00534A4E">
        <w:rPr>
          <w:sz w:val="24"/>
          <w:szCs w:val="24"/>
        </w:rPr>
        <w:t xml:space="preserve"> </w:t>
      </w:r>
    </w:p>
    <w:p w14:paraId="6F691833" w14:textId="77777777" w:rsidR="008E20D3" w:rsidRPr="00534A4E" w:rsidRDefault="00BD1211">
      <w:pPr>
        <w:spacing w:after="0" w:line="259" w:lineRule="auto"/>
        <w:ind w:left="0" w:right="0" w:firstLine="0"/>
        <w:jc w:val="left"/>
        <w:rPr>
          <w:sz w:val="24"/>
          <w:szCs w:val="24"/>
        </w:rPr>
      </w:pPr>
      <w:r w:rsidRPr="00534A4E">
        <w:rPr>
          <w:sz w:val="24"/>
          <w:szCs w:val="24"/>
        </w:rPr>
        <w:t xml:space="preserve"> </w:t>
      </w:r>
    </w:p>
    <w:p w14:paraId="2DD26293" w14:textId="77777777" w:rsidR="008E20D3" w:rsidRPr="00534A4E" w:rsidRDefault="00BD1211">
      <w:pPr>
        <w:pStyle w:val="Ttulo1"/>
        <w:ind w:left="-5" w:right="0"/>
        <w:rPr>
          <w:sz w:val="24"/>
          <w:szCs w:val="24"/>
        </w:rPr>
      </w:pPr>
      <w:r w:rsidRPr="00534A4E">
        <w:rPr>
          <w:sz w:val="24"/>
          <w:szCs w:val="24"/>
        </w:rPr>
        <w:t xml:space="preserve">REFERÊNCIAS  </w:t>
      </w:r>
    </w:p>
    <w:p w14:paraId="7B1C7997" w14:textId="77777777" w:rsidR="008E20D3" w:rsidRPr="00534A4E" w:rsidRDefault="00BD1211">
      <w:pPr>
        <w:ind w:left="-5" w:right="0"/>
        <w:rPr>
          <w:sz w:val="24"/>
          <w:szCs w:val="24"/>
        </w:rPr>
      </w:pPr>
      <w:r w:rsidRPr="00534A4E">
        <w:rPr>
          <w:sz w:val="24"/>
          <w:szCs w:val="24"/>
        </w:rPr>
        <w:t xml:space="preserve">MATTOS, A. D. Como preparar orçamento de obras. São Paulo, PINI, 2019. </w:t>
      </w:r>
    </w:p>
    <w:p w14:paraId="0E718E0B" w14:textId="77777777" w:rsidR="008E20D3" w:rsidRPr="00534A4E" w:rsidRDefault="00BD1211">
      <w:pPr>
        <w:ind w:left="-5" w:right="0"/>
        <w:rPr>
          <w:sz w:val="24"/>
          <w:szCs w:val="24"/>
        </w:rPr>
      </w:pPr>
      <w:r w:rsidRPr="00534A4E">
        <w:rPr>
          <w:sz w:val="24"/>
          <w:szCs w:val="24"/>
        </w:rPr>
        <w:t xml:space="preserve">EMOP. Empresa de Obras Públicas do Estado do Rio de Janeiro, dezembro, 2022. </w:t>
      </w:r>
    </w:p>
    <w:sectPr w:rsidR="008E20D3" w:rsidRPr="00534A4E">
      <w:headerReference w:type="even" r:id="rId9"/>
      <w:headerReference w:type="default" r:id="rId10"/>
      <w:footerReference w:type="even" r:id="rId11"/>
      <w:footerReference w:type="default" r:id="rId12"/>
      <w:headerReference w:type="first" r:id="rId13"/>
      <w:footerReference w:type="first" r:id="rId14"/>
      <w:pgSz w:w="11908" w:h="16840"/>
      <w:pgMar w:top="2156" w:right="1412" w:bottom="717" w:left="1417" w:header="720" w:footer="7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B3D2" w14:textId="77777777" w:rsidR="00BD1211" w:rsidRDefault="00BD1211">
      <w:pPr>
        <w:spacing w:after="0" w:line="240" w:lineRule="auto"/>
      </w:pPr>
      <w:r>
        <w:separator/>
      </w:r>
    </w:p>
  </w:endnote>
  <w:endnote w:type="continuationSeparator" w:id="0">
    <w:p w14:paraId="59179518" w14:textId="77777777" w:rsidR="00BD1211" w:rsidRDefault="00BD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7AA2" w14:textId="77777777" w:rsidR="008E20D3" w:rsidRDefault="00BD1211">
    <w:pPr>
      <w:spacing w:after="98" w:line="259" w:lineRule="auto"/>
      <w:ind w:left="0" w:right="-117"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80F64CD" wp14:editId="619AF200">
              <wp:simplePos x="0" y="0"/>
              <wp:positionH relativeFrom="page">
                <wp:posOffset>899160</wp:posOffset>
              </wp:positionH>
              <wp:positionV relativeFrom="page">
                <wp:posOffset>9596120</wp:posOffset>
              </wp:positionV>
              <wp:extent cx="5806440" cy="476695"/>
              <wp:effectExtent l="0" t="0" r="0" b="0"/>
              <wp:wrapSquare wrapText="bothSides"/>
              <wp:docPr id="5636" name="Group 5636"/>
              <wp:cNvGraphicFramePr/>
              <a:graphic xmlns:a="http://schemas.openxmlformats.org/drawingml/2006/main">
                <a:graphicData uri="http://schemas.microsoft.com/office/word/2010/wordprocessingGroup">
                  <wpg:wgp>
                    <wpg:cNvGrpSpPr/>
                    <wpg:grpSpPr>
                      <a:xfrm>
                        <a:off x="0" y="0"/>
                        <a:ext cx="5806440" cy="476695"/>
                        <a:chOff x="0" y="0"/>
                        <a:chExt cx="5806440" cy="476695"/>
                      </a:xfrm>
                    </wpg:grpSpPr>
                    <pic:pic xmlns:pic="http://schemas.openxmlformats.org/drawingml/2006/picture">
                      <pic:nvPicPr>
                        <pic:cNvPr id="5637" name="Picture 5637"/>
                        <pic:cNvPicPr/>
                      </pic:nvPicPr>
                      <pic:blipFill>
                        <a:blip r:embed="rId1"/>
                        <a:stretch>
                          <a:fillRect/>
                        </a:stretch>
                      </pic:blipFill>
                      <pic:spPr>
                        <a:xfrm>
                          <a:off x="0" y="0"/>
                          <a:ext cx="2153920" cy="447040"/>
                        </a:xfrm>
                        <a:prstGeom prst="rect">
                          <a:avLst/>
                        </a:prstGeom>
                      </pic:spPr>
                    </pic:pic>
                    <wps:wsp>
                      <wps:cNvPr id="5639" name="Rectangle 5639"/>
                      <wps:cNvSpPr/>
                      <wps:spPr>
                        <a:xfrm>
                          <a:off x="2154936" y="336106"/>
                          <a:ext cx="42228" cy="186984"/>
                        </a:xfrm>
                        <a:prstGeom prst="rect">
                          <a:avLst/>
                        </a:prstGeom>
                        <a:ln>
                          <a:noFill/>
                        </a:ln>
                      </wps:spPr>
                      <wps:txbx>
                        <w:txbxContent>
                          <w:p w14:paraId="5E45220C" w14:textId="77777777" w:rsidR="008E20D3" w:rsidRDefault="00BD1211">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5638" name="Picture 5638"/>
                        <pic:cNvPicPr/>
                      </pic:nvPicPr>
                      <pic:blipFill>
                        <a:blip r:embed="rId2"/>
                        <a:stretch>
                          <a:fillRect/>
                        </a:stretch>
                      </pic:blipFill>
                      <pic:spPr>
                        <a:xfrm>
                          <a:off x="2265680" y="58420"/>
                          <a:ext cx="3540760" cy="332740"/>
                        </a:xfrm>
                        <a:prstGeom prst="rect">
                          <a:avLst/>
                        </a:prstGeom>
                      </pic:spPr>
                    </pic:pic>
                  </wpg:wgp>
                </a:graphicData>
              </a:graphic>
            </wp:anchor>
          </w:drawing>
        </mc:Choice>
        <mc:Fallback xmlns:a="http://schemas.openxmlformats.org/drawingml/2006/main" xmlns:oel="http://schemas.microsoft.com/office/2019/extlst">
          <w:pict>
            <v:group id="Group 5636" style="width:457.2pt;height:37.535pt;position:absolute;mso-position-horizontal-relative:page;mso-position-horizontal:absolute;margin-left:70.8pt;mso-position-vertical-relative:page;margin-top:755.6pt;" coordsize="58064,4766">
              <v:shape id="Picture 5637" style="position:absolute;width:21539;height:4470;left:0;top:0;" filled="f">
                <v:imagedata r:id="rId10"/>
              </v:shape>
              <v:rect id="Rectangle 5639" style="position:absolute;width:422;height:1869;left:21549;top:3361;" filled="f" stroked="f">
                <v:textbox inset="0,0,0,0">
                  <w:txbxContent>
                    <w:p>
                      <w:pPr>
                        <w:spacing w:before="0" w:after="160" w:line="259" w:lineRule="auto"/>
                        <w:ind w:left="0" w:right="0" w:firstLine="0"/>
                        <w:jc w:val="left"/>
                      </w:pPr>
                      <w:r>
                        <w:rPr>
                          <w:sz w:val="20"/>
                        </w:rPr>
                        <w:t xml:space="preserve"> </w:t>
                      </w:r>
                    </w:p>
                  </w:txbxContent>
                </v:textbox>
              </v:rect>
              <v:shape id="Picture 5638" style="position:absolute;width:35407;height:3327;left:22656;top:584;" filled="f">
                <v:imagedata r:id="rId11"/>
              </v:shape>
              <w10:wrap type="square"/>
            </v:group>
          </w:pict>
        </mc:Fallback>
      </mc:AlternateContent>
    </w:r>
    <w:r>
      <w:rPr>
        <w:sz w:val="20"/>
      </w:rPr>
      <w:t xml:space="preserve"> </w:t>
    </w:r>
  </w:p>
  <w:p w14:paraId="5001808D" w14:textId="77777777" w:rsidR="008E20D3" w:rsidRDefault="00BD1211">
    <w:pPr>
      <w:spacing w:after="0" w:line="259" w:lineRule="auto"/>
      <w:ind w:left="45" w:right="0" w:firstLine="0"/>
      <w:jc w:val="cente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CC9E" w14:textId="77777777" w:rsidR="008E20D3" w:rsidRDefault="00BD1211">
    <w:pPr>
      <w:spacing w:after="98" w:line="259" w:lineRule="auto"/>
      <w:ind w:left="0" w:right="-117"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042C890" wp14:editId="6D14F8A1">
              <wp:simplePos x="0" y="0"/>
              <wp:positionH relativeFrom="page">
                <wp:posOffset>899160</wp:posOffset>
              </wp:positionH>
              <wp:positionV relativeFrom="page">
                <wp:posOffset>9596120</wp:posOffset>
              </wp:positionV>
              <wp:extent cx="5806440" cy="476695"/>
              <wp:effectExtent l="0" t="0" r="0" b="0"/>
              <wp:wrapSquare wrapText="bothSides"/>
              <wp:docPr id="5612" name="Group 5612"/>
              <wp:cNvGraphicFramePr/>
              <a:graphic xmlns:a="http://schemas.openxmlformats.org/drawingml/2006/main">
                <a:graphicData uri="http://schemas.microsoft.com/office/word/2010/wordprocessingGroup">
                  <wpg:wgp>
                    <wpg:cNvGrpSpPr/>
                    <wpg:grpSpPr>
                      <a:xfrm>
                        <a:off x="0" y="0"/>
                        <a:ext cx="5806440" cy="476695"/>
                        <a:chOff x="0" y="0"/>
                        <a:chExt cx="5806440" cy="476695"/>
                      </a:xfrm>
                    </wpg:grpSpPr>
                    <pic:pic xmlns:pic="http://schemas.openxmlformats.org/drawingml/2006/picture">
                      <pic:nvPicPr>
                        <pic:cNvPr id="5613" name="Picture 5613"/>
                        <pic:cNvPicPr/>
                      </pic:nvPicPr>
                      <pic:blipFill>
                        <a:blip r:embed="rId1"/>
                        <a:stretch>
                          <a:fillRect/>
                        </a:stretch>
                      </pic:blipFill>
                      <pic:spPr>
                        <a:xfrm>
                          <a:off x="0" y="0"/>
                          <a:ext cx="2153920" cy="447040"/>
                        </a:xfrm>
                        <a:prstGeom prst="rect">
                          <a:avLst/>
                        </a:prstGeom>
                      </pic:spPr>
                    </pic:pic>
                    <wps:wsp>
                      <wps:cNvPr id="5615" name="Rectangle 5615"/>
                      <wps:cNvSpPr/>
                      <wps:spPr>
                        <a:xfrm>
                          <a:off x="2154936" y="336106"/>
                          <a:ext cx="42228" cy="186984"/>
                        </a:xfrm>
                        <a:prstGeom prst="rect">
                          <a:avLst/>
                        </a:prstGeom>
                        <a:ln>
                          <a:noFill/>
                        </a:ln>
                      </wps:spPr>
                      <wps:txbx>
                        <w:txbxContent>
                          <w:p w14:paraId="092A2DAB" w14:textId="77777777" w:rsidR="008E20D3" w:rsidRDefault="00BD1211">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5614" name="Picture 5614"/>
                        <pic:cNvPicPr/>
                      </pic:nvPicPr>
                      <pic:blipFill>
                        <a:blip r:embed="rId2"/>
                        <a:stretch>
                          <a:fillRect/>
                        </a:stretch>
                      </pic:blipFill>
                      <pic:spPr>
                        <a:xfrm>
                          <a:off x="2265680" y="58420"/>
                          <a:ext cx="3540760" cy="332740"/>
                        </a:xfrm>
                        <a:prstGeom prst="rect">
                          <a:avLst/>
                        </a:prstGeom>
                      </pic:spPr>
                    </pic:pic>
                  </wpg:wgp>
                </a:graphicData>
              </a:graphic>
            </wp:anchor>
          </w:drawing>
        </mc:Choice>
        <mc:Fallback xmlns:a="http://schemas.openxmlformats.org/drawingml/2006/main" xmlns:oel="http://schemas.microsoft.com/office/2019/extlst">
          <w:pict>
            <v:group id="Group 5612" style="width:457.2pt;height:37.535pt;position:absolute;mso-position-horizontal-relative:page;mso-position-horizontal:absolute;margin-left:70.8pt;mso-position-vertical-relative:page;margin-top:755.6pt;" coordsize="58064,4766">
              <v:shape id="Picture 5613" style="position:absolute;width:21539;height:4470;left:0;top:0;" filled="f">
                <v:imagedata r:id="rId10"/>
              </v:shape>
              <v:rect id="Rectangle 5615" style="position:absolute;width:422;height:1869;left:21549;top:3361;" filled="f" stroked="f">
                <v:textbox inset="0,0,0,0">
                  <w:txbxContent>
                    <w:p>
                      <w:pPr>
                        <w:spacing w:before="0" w:after="160" w:line="259" w:lineRule="auto"/>
                        <w:ind w:left="0" w:right="0" w:firstLine="0"/>
                        <w:jc w:val="left"/>
                      </w:pPr>
                      <w:r>
                        <w:rPr>
                          <w:sz w:val="20"/>
                        </w:rPr>
                        <w:t xml:space="preserve"> </w:t>
                      </w:r>
                    </w:p>
                  </w:txbxContent>
                </v:textbox>
              </v:rect>
              <v:shape id="Picture 5614" style="position:absolute;width:35407;height:3327;left:22656;top:584;" filled="f">
                <v:imagedata r:id="rId11"/>
              </v:shape>
              <w10:wrap type="square"/>
            </v:group>
          </w:pict>
        </mc:Fallback>
      </mc:AlternateContent>
    </w:r>
    <w:r>
      <w:rPr>
        <w:sz w:val="20"/>
      </w:rPr>
      <w:t xml:space="preserve"> </w:t>
    </w:r>
  </w:p>
  <w:p w14:paraId="3DD7B692" w14:textId="77777777" w:rsidR="008E20D3" w:rsidRDefault="00BD1211">
    <w:pPr>
      <w:spacing w:after="0" w:line="259" w:lineRule="auto"/>
      <w:ind w:left="45" w:right="0" w:firstLine="0"/>
      <w:jc w:val="cente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25B5" w14:textId="77777777" w:rsidR="008E20D3" w:rsidRDefault="00BD1211">
    <w:pPr>
      <w:spacing w:after="0" w:line="259" w:lineRule="auto"/>
      <w:ind w:left="0" w:right="-117"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396B278" wp14:editId="77499E26">
              <wp:simplePos x="0" y="0"/>
              <wp:positionH relativeFrom="page">
                <wp:posOffset>899160</wp:posOffset>
              </wp:positionH>
              <wp:positionV relativeFrom="page">
                <wp:posOffset>9596120</wp:posOffset>
              </wp:positionV>
              <wp:extent cx="5806440" cy="476695"/>
              <wp:effectExtent l="0" t="0" r="0" b="0"/>
              <wp:wrapSquare wrapText="bothSides"/>
              <wp:docPr id="5591" name="Group 5591"/>
              <wp:cNvGraphicFramePr/>
              <a:graphic xmlns:a="http://schemas.openxmlformats.org/drawingml/2006/main">
                <a:graphicData uri="http://schemas.microsoft.com/office/word/2010/wordprocessingGroup">
                  <wpg:wgp>
                    <wpg:cNvGrpSpPr/>
                    <wpg:grpSpPr>
                      <a:xfrm>
                        <a:off x="0" y="0"/>
                        <a:ext cx="5806440" cy="476695"/>
                        <a:chOff x="0" y="0"/>
                        <a:chExt cx="5806440" cy="476695"/>
                      </a:xfrm>
                    </wpg:grpSpPr>
                    <pic:pic xmlns:pic="http://schemas.openxmlformats.org/drawingml/2006/picture">
                      <pic:nvPicPr>
                        <pic:cNvPr id="5592" name="Picture 5592"/>
                        <pic:cNvPicPr/>
                      </pic:nvPicPr>
                      <pic:blipFill>
                        <a:blip r:embed="rId1"/>
                        <a:stretch>
                          <a:fillRect/>
                        </a:stretch>
                      </pic:blipFill>
                      <pic:spPr>
                        <a:xfrm>
                          <a:off x="0" y="0"/>
                          <a:ext cx="2153920" cy="447040"/>
                        </a:xfrm>
                        <a:prstGeom prst="rect">
                          <a:avLst/>
                        </a:prstGeom>
                      </pic:spPr>
                    </pic:pic>
                    <wps:wsp>
                      <wps:cNvPr id="5594" name="Rectangle 5594"/>
                      <wps:cNvSpPr/>
                      <wps:spPr>
                        <a:xfrm>
                          <a:off x="2154936" y="336106"/>
                          <a:ext cx="42228" cy="186984"/>
                        </a:xfrm>
                        <a:prstGeom prst="rect">
                          <a:avLst/>
                        </a:prstGeom>
                        <a:ln>
                          <a:noFill/>
                        </a:ln>
                      </wps:spPr>
                      <wps:txbx>
                        <w:txbxContent>
                          <w:p w14:paraId="1022C1FB" w14:textId="77777777" w:rsidR="008E20D3" w:rsidRDefault="00BD1211">
                            <w:pPr>
                              <w:spacing w:after="160" w:line="259" w:lineRule="auto"/>
                              <w:ind w:left="0" w:right="0" w:firstLine="0"/>
                              <w:jc w:val="left"/>
                            </w:pPr>
                            <w:r>
                              <w:rPr>
                                <w:sz w:val="20"/>
                              </w:rPr>
                              <w:t xml:space="preserve"> </w:t>
                            </w:r>
                          </w:p>
                        </w:txbxContent>
                      </wps:txbx>
                      <wps:bodyPr horzOverflow="overflow" vert="horz" lIns="0" tIns="0" rIns="0" bIns="0" rtlCol="0">
                        <a:noAutofit/>
                      </wps:bodyPr>
                    </wps:wsp>
                    <pic:pic xmlns:pic="http://schemas.openxmlformats.org/drawingml/2006/picture">
                      <pic:nvPicPr>
                        <pic:cNvPr id="5593" name="Picture 5593"/>
                        <pic:cNvPicPr/>
                      </pic:nvPicPr>
                      <pic:blipFill>
                        <a:blip r:embed="rId2"/>
                        <a:stretch>
                          <a:fillRect/>
                        </a:stretch>
                      </pic:blipFill>
                      <pic:spPr>
                        <a:xfrm>
                          <a:off x="2265680" y="58420"/>
                          <a:ext cx="3540760" cy="332740"/>
                        </a:xfrm>
                        <a:prstGeom prst="rect">
                          <a:avLst/>
                        </a:prstGeom>
                      </pic:spPr>
                    </pic:pic>
                  </wpg:wgp>
                </a:graphicData>
              </a:graphic>
            </wp:anchor>
          </w:drawing>
        </mc:Choice>
        <mc:Fallback xmlns:a="http://schemas.openxmlformats.org/drawingml/2006/main" xmlns:oel="http://schemas.microsoft.com/office/2019/extlst">
          <w:pict>
            <v:group id="Group 5591" style="width:457.2pt;height:37.535pt;position:absolute;mso-position-horizontal-relative:page;mso-position-horizontal:absolute;margin-left:70.8pt;mso-position-vertical-relative:page;margin-top:755.6pt;" coordsize="58064,4766">
              <v:shape id="Picture 5592" style="position:absolute;width:21539;height:4470;left:0;top:0;" filled="f">
                <v:imagedata r:id="rId10"/>
              </v:shape>
              <v:rect id="Rectangle 5594" style="position:absolute;width:422;height:1869;left:21549;top:3361;" filled="f" stroked="f">
                <v:textbox inset="0,0,0,0">
                  <w:txbxContent>
                    <w:p>
                      <w:pPr>
                        <w:spacing w:before="0" w:after="160" w:line="259" w:lineRule="auto"/>
                        <w:ind w:left="0" w:right="0" w:firstLine="0"/>
                        <w:jc w:val="left"/>
                      </w:pPr>
                      <w:r>
                        <w:rPr>
                          <w:sz w:val="20"/>
                        </w:rPr>
                        <w:t xml:space="preserve"> </w:t>
                      </w:r>
                    </w:p>
                  </w:txbxContent>
                </v:textbox>
              </v:rect>
              <v:shape id="Picture 5593" style="position:absolute;width:35407;height:3327;left:22656;top:584;" filled="f">
                <v:imagedata r:id="rId11"/>
              </v:shape>
              <w10:wrap type="square"/>
            </v:group>
          </w:pict>
        </mc:Fallback>
      </mc:AlternateConten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24E1" w14:textId="77777777" w:rsidR="00BD1211" w:rsidRDefault="00BD1211">
      <w:pPr>
        <w:spacing w:after="0" w:line="240" w:lineRule="auto"/>
      </w:pPr>
      <w:r>
        <w:separator/>
      </w:r>
    </w:p>
  </w:footnote>
  <w:footnote w:type="continuationSeparator" w:id="0">
    <w:p w14:paraId="56A71CFB" w14:textId="77777777" w:rsidR="00BD1211" w:rsidRDefault="00BD1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BBF0" w14:textId="77777777" w:rsidR="008E20D3" w:rsidRDefault="00BD1211">
    <w:pPr>
      <w:spacing w:after="0" w:line="259" w:lineRule="auto"/>
      <w:ind w:left="1680" w:right="0" w:firstLine="0"/>
      <w:jc w:val="left"/>
    </w:pPr>
    <w:r>
      <w:rPr>
        <w:noProof/>
      </w:rPr>
      <w:drawing>
        <wp:anchor distT="0" distB="0" distL="114300" distR="114300" simplePos="0" relativeHeight="251658240" behindDoc="0" locked="0" layoutInCell="1" allowOverlap="0" wp14:anchorId="40482A8D" wp14:editId="2B953A11">
          <wp:simplePos x="0" y="0"/>
          <wp:positionH relativeFrom="page">
            <wp:posOffset>1965960</wp:posOffset>
          </wp:positionH>
          <wp:positionV relativeFrom="page">
            <wp:posOffset>457200</wp:posOffset>
          </wp:positionV>
          <wp:extent cx="3627121" cy="762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27121" cy="762000"/>
                  </a:xfrm>
                  <a:prstGeom prst="rect">
                    <a:avLst/>
                  </a:prstGeom>
                </pic:spPr>
              </pic:pic>
            </a:graphicData>
          </a:graphic>
        </wp:anchor>
      </w:drawing>
    </w:r>
    <w:r>
      <w:rPr>
        <w:sz w:val="20"/>
      </w:rPr>
      <w:t xml:space="preserve"> </w:t>
    </w:r>
  </w:p>
  <w:p w14:paraId="2271A4AE" w14:textId="77777777" w:rsidR="008E20D3" w:rsidRDefault="00BD1211">
    <w:pPr>
      <w:spacing w:after="0" w:line="259" w:lineRule="auto"/>
      <w:ind w:left="45" w:right="0" w:firstLine="0"/>
      <w:jc w:val="center"/>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8348" w14:textId="77777777" w:rsidR="008E20D3" w:rsidRDefault="00BD1211">
    <w:pPr>
      <w:spacing w:after="0" w:line="259" w:lineRule="auto"/>
      <w:ind w:left="1680" w:right="0" w:firstLine="0"/>
      <w:jc w:val="left"/>
    </w:pPr>
    <w:r>
      <w:rPr>
        <w:noProof/>
      </w:rPr>
      <w:drawing>
        <wp:anchor distT="0" distB="0" distL="114300" distR="114300" simplePos="0" relativeHeight="251659264" behindDoc="0" locked="0" layoutInCell="1" allowOverlap="0" wp14:anchorId="16E165A9" wp14:editId="6005C2CF">
          <wp:simplePos x="0" y="0"/>
          <wp:positionH relativeFrom="page">
            <wp:posOffset>1965960</wp:posOffset>
          </wp:positionH>
          <wp:positionV relativeFrom="page">
            <wp:posOffset>457200</wp:posOffset>
          </wp:positionV>
          <wp:extent cx="3627121" cy="762000"/>
          <wp:effectExtent l="0" t="0" r="0" b="0"/>
          <wp:wrapSquare wrapText="bothSides"/>
          <wp:docPr id="93308029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27121" cy="762000"/>
                  </a:xfrm>
                  <a:prstGeom prst="rect">
                    <a:avLst/>
                  </a:prstGeom>
                </pic:spPr>
              </pic:pic>
            </a:graphicData>
          </a:graphic>
        </wp:anchor>
      </w:drawing>
    </w:r>
    <w:r>
      <w:rPr>
        <w:sz w:val="20"/>
      </w:rPr>
      <w:t xml:space="preserve"> </w:t>
    </w:r>
  </w:p>
  <w:p w14:paraId="466219BA" w14:textId="77777777" w:rsidR="008E20D3" w:rsidRDefault="00BD1211">
    <w:pPr>
      <w:spacing w:after="0" w:line="259" w:lineRule="auto"/>
      <w:ind w:left="45" w:right="0" w:firstLine="0"/>
      <w:jc w:val="center"/>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586E" w14:textId="77777777" w:rsidR="008E20D3" w:rsidRDefault="00BD1211">
    <w:pPr>
      <w:spacing w:after="0" w:line="259" w:lineRule="auto"/>
      <w:ind w:left="1680" w:right="0" w:firstLine="0"/>
      <w:jc w:val="left"/>
    </w:pPr>
    <w:r>
      <w:rPr>
        <w:noProof/>
      </w:rPr>
      <w:drawing>
        <wp:anchor distT="0" distB="0" distL="114300" distR="114300" simplePos="0" relativeHeight="251660288" behindDoc="0" locked="0" layoutInCell="1" allowOverlap="0" wp14:anchorId="58931ACB" wp14:editId="1E77C393">
          <wp:simplePos x="0" y="0"/>
          <wp:positionH relativeFrom="page">
            <wp:posOffset>1965960</wp:posOffset>
          </wp:positionH>
          <wp:positionV relativeFrom="page">
            <wp:posOffset>457200</wp:posOffset>
          </wp:positionV>
          <wp:extent cx="3627121" cy="762000"/>
          <wp:effectExtent l="0" t="0" r="0" b="0"/>
          <wp:wrapSquare wrapText="bothSides"/>
          <wp:docPr id="68816745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27121" cy="762000"/>
                  </a:xfrm>
                  <a:prstGeom prst="rect">
                    <a:avLst/>
                  </a:prstGeom>
                </pic:spPr>
              </pic:pic>
            </a:graphicData>
          </a:graphic>
        </wp:anchor>
      </w:drawing>
    </w:r>
    <w:r>
      <w:rPr>
        <w:sz w:val="20"/>
      </w:rPr>
      <w:t xml:space="preserve"> </w:t>
    </w:r>
  </w:p>
  <w:p w14:paraId="2B6151FF" w14:textId="77777777" w:rsidR="008E20D3" w:rsidRDefault="00BD1211">
    <w:pPr>
      <w:spacing w:after="0" w:line="259" w:lineRule="auto"/>
      <w:ind w:left="45" w:right="0" w:firstLine="0"/>
      <w:jc w:val="center"/>
    </w:pPr>
    <w:r>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D3"/>
    <w:rsid w:val="00534A4E"/>
    <w:rsid w:val="00551A0C"/>
    <w:rsid w:val="005D7D7E"/>
    <w:rsid w:val="008E20D3"/>
    <w:rsid w:val="00BD1211"/>
    <w:rsid w:val="00CC0F5D"/>
    <w:rsid w:val="00CF4F74"/>
    <w:rsid w:val="00D027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8384"/>
  <w15:docId w15:val="{64CDE6D1-9520-4F41-B4CC-5BEBA1C5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8"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pPr>
      <w:keepNext/>
      <w:keepLines/>
      <w:spacing w:after="0"/>
      <w:ind w:left="10" w:right="10" w:hanging="10"/>
      <w:outlineLvl w:val="0"/>
    </w:pPr>
    <w:rPr>
      <w:rFonts w:ascii="Times New Roman" w:eastAsia="Times New Roman" w:hAnsi="Times New Roman" w:cs="Times New Roman"/>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2"/>
    </w:rPr>
  </w:style>
  <w:style w:type="character" w:styleId="Hyperlink">
    <w:name w:val="Hyperlink"/>
    <w:basedOn w:val="Fontepargpadro"/>
    <w:uiPriority w:val="99"/>
    <w:unhideWhenUsed/>
    <w:rsid w:val="00CC0F5D"/>
    <w:rPr>
      <w:color w:val="0563C1" w:themeColor="hyperlink"/>
      <w:u w:val="single"/>
    </w:rPr>
  </w:style>
  <w:style w:type="character" w:styleId="MenoPendente">
    <w:name w:val="Unresolved Mention"/>
    <w:basedOn w:val="Fontepargpadro"/>
    <w:uiPriority w:val="99"/>
    <w:semiHidden/>
    <w:unhideWhenUsed/>
    <w:rsid w:val="00CC0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ndressaaraujo.engenheiracivil@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 Id="rId11" Type="http://schemas.openxmlformats.org/officeDocument/2006/relationships/image" Target="media/image2.png"/><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 Id="rId11" Type="http://schemas.openxmlformats.org/officeDocument/2006/relationships/image" Target="media/image2.png"/><Relationship Id="rId10"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 Id="rId11" Type="http://schemas.openxmlformats.org/officeDocument/2006/relationships/image" Target="media/image2.png"/><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1831</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Andressa Araujo</cp:lastModifiedBy>
  <cp:revision>3</cp:revision>
  <dcterms:created xsi:type="dcterms:W3CDTF">2023-07-01T02:14:00Z</dcterms:created>
  <dcterms:modified xsi:type="dcterms:W3CDTF">2023-07-11T00:10:00Z</dcterms:modified>
</cp:coreProperties>
</file>