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3FE54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ind w:right="-518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CUBESAT PARA ANÁLISE DE RADIAÇÃO UV E CO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NA ATMOSFERA</w:t>
      </w:r>
    </w:p>
    <w:p w14:paraId="4670C5CA" w14:textId="77777777" w:rsidR="008369CE" w:rsidRDefault="008369CE">
      <w:pPr>
        <w:pBdr>
          <w:top w:val="nil"/>
          <w:left w:val="nil"/>
          <w:bottom w:val="nil"/>
          <w:right w:val="nil"/>
          <w:between w:val="nil"/>
        </w:pBdr>
        <w:ind w:right="-518"/>
        <w:jc w:val="center"/>
        <w:rPr>
          <w:color w:val="000000"/>
          <w:sz w:val="24"/>
          <w:szCs w:val="24"/>
        </w:rPr>
      </w:pPr>
    </w:p>
    <w:p w14:paraId="6F60B816" w14:textId="77777777" w:rsidR="008369CE" w:rsidRDefault="00000000">
      <w:pPr>
        <w:ind w:right="-1"/>
        <w:jc w:val="both"/>
      </w:pPr>
      <w:r>
        <w:t>ARTHUR PEREIRA DA COSTA</w:t>
      </w:r>
      <w:r>
        <w:rPr>
          <w:vertAlign w:val="superscript"/>
        </w:rPr>
        <w:t>1</w:t>
      </w:r>
      <w:r>
        <w:t>, JENNIFER KELLY FERNANDES TORRES</w:t>
      </w:r>
      <w:r>
        <w:rPr>
          <w:vertAlign w:val="superscript"/>
        </w:rPr>
        <w:t>2</w:t>
      </w:r>
      <w:r>
        <w:t xml:space="preserve"> e ANDRESSA MARIA DA SILVA NUNES</w:t>
      </w:r>
      <w:r>
        <w:rPr>
          <w:vertAlign w:val="superscript"/>
        </w:rPr>
        <w:t>3</w:t>
      </w:r>
    </w:p>
    <w:p w14:paraId="6C831ECC" w14:textId="77777777" w:rsidR="008369CE" w:rsidRDefault="008369CE">
      <w:pPr>
        <w:ind w:right="-518"/>
        <w:jc w:val="center"/>
      </w:pPr>
    </w:p>
    <w:p w14:paraId="7D416D38" w14:textId="77777777" w:rsidR="008369CE" w:rsidRDefault="00000000">
      <w:pPr>
        <w:jc w:val="both"/>
        <w:rPr>
          <w:color w:val="000000"/>
        </w:rPr>
      </w:pPr>
      <w:r>
        <w:rPr>
          <w:vertAlign w:val="superscript"/>
        </w:rPr>
        <w:t>1</w:t>
      </w:r>
      <w:r>
        <w:t>Graduando em Engenharia Elétrica, IFAL, Palmeira dos Índios-AL, apc1@aluno.ifal.edu.br;</w:t>
      </w:r>
    </w:p>
    <w:p w14:paraId="5207F9F3" w14:textId="230E6289" w:rsidR="008369CE" w:rsidRDefault="00000000">
      <w:pPr>
        <w:jc w:val="both"/>
      </w:pPr>
      <w:r>
        <w:rPr>
          <w:vertAlign w:val="superscript"/>
        </w:rPr>
        <w:t>2</w:t>
      </w:r>
      <w:r>
        <w:t>Graduanda em Engenharia Elétrica, IFAL, Palmeira dos Índios-AL, jkft</w:t>
      </w:r>
      <w:r w:rsidR="00F63BD7">
        <w:t>1</w:t>
      </w:r>
      <w:r>
        <w:t>@aluno.ifal.edu.br</w:t>
      </w:r>
      <w:r w:rsidR="00F63BD7">
        <w:t>;</w:t>
      </w:r>
    </w:p>
    <w:p w14:paraId="170CBBD1" w14:textId="240944EA" w:rsidR="008369CE" w:rsidRDefault="00000000">
      <w:pPr>
        <w:jc w:val="both"/>
        <w:rPr>
          <w:sz w:val="22"/>
          <w:szCs w:val="22"/>
        </w:rPr>
      </w:pPr>
      <w:r>
        <w:rPr>
          <w:vertAlign w:val="superscript"/>
        </w:rPr>
        <w:t>3</w:t>
      </w:r>
      <w:r>
        <w:t>Dra. em Física, Profa. EBTT, IFAL, Palmeira dos Índios-AL, andressa.nunes@ifal.edu.br.</w:t>
      </w:r>
    </w:p>
    <w:p w14:paraId="5E8E00EA" w14:textId="77777777" w:rsidR="008369CE" w:rsidRDefault="008369CE">
      <w:pPr>
        <w:jc w:val="center"/>
      </w:pPr>
    </w:p>
    <w:p w14:paraId="08C5EF7F" w14:textId="77777777" w:rsidR="008369CE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RESUMO</w:t>
      </w:r>
      <w:r>
        <w:rPr>
          <w:sz w:val="22"/>
          <w:szCs w:val="22"/>
        </w:rPr>
        <w:t xml:space="preserve">: O presente artigo descreve o aparato mecânico, a estratégia de telemetria e o sistema de suprimento de energia de um </w:t>
      </w:r>
      <w:proofErr w:type="spellStart"/>
      <w:r>
        <w:rPr>
          <w:sz w:val="22"/>
          <w:szCs w:val="22"/>
        </w:rPr>
        <w:t>nanossatélite</w:t>
      </w:r>
      <w:proofErr w:type="spellEnd"/>
      <w:r>
        <w:rPr>
          <w:sz w:val="22"/>
          <w:szCs w:val="22"/>
        </w:rPr>
        <w:t xml:space="preserve"> educacional em uma estrutura CUBESAT, para a análise de parâmetros atmosféricos, implementado durante a 1ª Olimpíada Brasileira de Satélites - MCTI (OBSAT). O projeto buscou avaliar a intensidade de Radiação Ultravioleta Tipo B (UV-B) e a concentração de Dióxido de Carbono (CO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 em diferentes altitudes da atmosfera terrestre. Para a missão, foram formuladas estratégias para o controle mecânico, isolamento térmico e de transmissão de telemetrias. </w:t>
      </w:r>
      <w:r>
        <w:rPr>
          <w:color w:val="00000A"/>
          <w:sz w:val="22"/>
          <w:szCs w:val="22"/>
        </w:rPr>
        <w:t>Com a obtenção dos dados, foi realizado um estudo sobre as condições atmosféricas relacionadas à eficiência da camada de ozônio no bloqueio da radiação UV-B e a concentração atual de CO</w:t>
      </w:r>
      <w:r>
        <w:rPr>
          <w:color w:val="00000A"/>
          <w:sz w:val="22"/>
          <w:szCs w:val="22"/>
          <w:vertAlign w:val="subscript"/>
        </w:rPr>
        <w:t>2</w:t>
      </w:r>
      <w:r>
        <w:rPr>
          <w:color w:val="00000A"/>
          <w:sz w:val="22"/>
          <w:szCs w:val="22"/>
        </w:rPr>
        <w:t xml:space="preserve"> em diferentes zonas atmosféricas. Além disso, a operação do sistema de captura e envio de dados da estrutura do </w:t>
      </w:r>
      <w:proofErr w:type="spellStart"/>
      <w:r>
        <w:rPr>
          <w:color w:val="00000A"/>
          <w:sz w:val="22"/>
          <w:szCs w:val="22"/>
        </w:rPr>
        <w:t>nanossatélite</w:t>
      </w:r>
      <w:proofErr w:type="spellEnd"/>
      <w:r>
        <w:rPr>
          <w:color w:val="00000A"/>
          <w:sz w:val="22"/>
          <w:szCs w:val="22"/>
        </w:rPr>
        <w:t xml:space="preserve"> também foi estudada, a fim de tornar possível o dimensionamento de sua eficiência térmica, magnética e eletrônica em condições adversas de temperatura e pressão. </w:t>
      </w:r>
      <w:r>
        <w:rPr>
          <w:sz w:val="22"/>
          <w:szCs w:val="22"/>
        </w:rPr>
        <w:t xml:space="preserve"> </w:t>
      </w:r>
    </w:p>
    <w:p w14:paraId="2C81907D" w14:textId="77777777" w:rsidR="008369CE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PALAVRAS-CHAVE: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Nanossatélite</w:t>
      </w:r>
      <w:proofErr w:type="spellEnd"/>
      <w:r>
        <w:rPr>
          <w:sz w:val="22"/>
          <w:szCs w:val="22"/>
        </w:rPr>
        <w:t>, variáveis ambientais, camada de ozônio, UV-B, Dióxido de Carbono.</w:t>
      </w:r>
    </w:p>
    <w:p w14:paraId="0190CB7A" w14:textId="77777777" w:rsidR="008369CE" w:rsidRDefault="008369CE">
      <w:pPr>
        <w:jc w:val="both"/>
        <w:rPr>
          <w:sz w:val="22"/>
          <w:szCs w:val="22"/>
        </w:rPr>
      </w:pPr>
    </w:p>
    <w:p w14:paraId="2ADAC669" w14:textId="77777777" w:rsidR="008369CE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CUBESAT FOR UV RADIATION AND CO</w:t>
      </w:r>
      <w:r>
        <w:rPr>
          <w:b/>
          <w:sz w:val="24"/>
          <w:szCs w:val="24"/>
          <w:vertAlign w:val="subscript"/>
        </w:rPr>
        <w:t>2</w:t>
      </w:r>
      <w:r>
        <w:rPr>
          <w:b/>
          <w:sz w:val="24"/>
          <w:szCs w:val="24"/>
        </w:rPr>
        <w:t xml:space="preserve"> ANALYSIS IN THE ATMOSPHERE</w:t>
      </w:r>
    </w:p>
    <w:p w14:paraId="25FA81BD" w14:textId="77777777" w:rsidR="008369CE" w:rsidRDefault="00000000">
      <w:pPr>
        <w:tabs>
          <w:tab w:val="left" w:pos="6313"/>
        </w:tabs>
        <w:rPr>
          <w:b/>
        </w:rPr>
      </w:pPr>
      <w:r>
        <w:rPr>
          <w:b/>
        </w:rPr>
        <w:tab/>
      </w:r>
    </w:p>
    <w:p w14:paraId="164FFB9A" w14:textId="77777777" w:rsidR="008369CE" w:rsidRDefault="00000000">
      <w:pPr>
        <w:ind w:right="-1"/>
        <w:jc w:val="both"/>
        <w:rPr>
          <w:sz w:val="22"/>
          <w:szCs w:val="22"/>
        </w:rPr>
      </w:pPr>
      <w:r>
        <w:rPr>
          <w:b/>
          <w:sz w:val="22"/>
          <w:szCs w:val="22"/>
        </w:rPr>
        <w:t>ABSTRACT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This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paper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describes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mechanical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apparatus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telemetry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strategy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power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supply</w:t>
      </w:r>
      <w:proofErr w:type="spellEnd"/>
      <w:r>
        <w:rPr>
          <w:sz w:val="22"/>
          <w:szCs w:val="22"/>
        </w:rPr>
        <w:t xml:space="preserve"> system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educational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nanosatellite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housed</w:t>
      </w:r>
      <w:proofErr w:type="spellEnd"/>
      <w:r>
        <w:rPr>
          <w:sz w:val="22"/>
          <w:szCs w:val="22"/>
        </w:rPr>
        <w:t xml:space="preserve"> in a CUBESAT </w:t>
      </w:r>
      <w:proofErr w:type="spellStart"/>
      <w:r>
        <w:rPr>
          <w:sz w:val="22"/>
          <w:szCs w:val="22"/>
        </w:rPr>
        <w:t>structure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designed</w:t>
      </w:r>
      <w:proofErr w:type="spellEnd"/>
      <w:r>
        <w:rPr>
          <w:sz w:val="22"/>
          <w:szCs w:val="22"/>
        </w:rPr>
        <w:t xml:space="preserve"> for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analysis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atmospheric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parameters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during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1st </w:t>
      </w:r>
      <w:proofErr w:type="spellStart"/>
      <w:r>
        <w:rPr>
          <w:sz w:val="22"/>
          <w:szCs w:val="22"/>
        </w:rPr>
        <w:t>Brazilian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Satellite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Olympiad</w:t>
      </w:r>
      <w:proofErr w:type="spellEnd"/>
      <w:r>
        <w:rPr>
          <w:sz w:val="22"/>
          <w:szCs w:val="22"/>
        </w:rPr>
        <w:t xml:space="preserve"> - MCTI (OBSAT). The </w:t>
      </w:r>
      <w:proofErr w:type="spellStart"/>
      <w:r>
        <w:rPr>
          <w:sz w:val="22"/>
          <w:szCs w:val="22"/>
        </w:rPr>
        <w:t>project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aimed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assess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intensity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Ultraviolet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Type</w:t>
      </w:r>
      <w:proofErr w:type="spellEnd"/>
      <w:r>
        <w:rPr>
          <w:sz w:val="22"/>
          <w:szCs w:val="22"/>
        </w:rPr>
        <w:t xml:space="preserve"> B (UV-B) </w:t>
      </w:r>
      <w:proofErr w:type="spellStart"/>
      <w:r>
        <w:rPr>
          <w:sz w:val="22"/>
          <w:szCs w:val="22"/>
        </w:rPr>
        <w:t>radiation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concentration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Carbon </w:t>
      </w:r>
      <w:proofErr w:type="spellStart"/>
      <w:r>
        <w:rPr>
          <w:sz w:val="22"/>
          <w:szCs w:val="22"/>
        </w:rPr>
        <w:t>Dioxide</w:t>
      </w:r>
      <w:proofErr w:type="spellEnd"/>
      <w:r>
        <w:rPr>
          <w:sz w:val="22"/>
          <w:szCs w:val="22"/>
        </w:rPr>
        <w:t xml:space="preserve"> (CO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different</w:t>
      </w:r>
      <w:proofErr w:type="spellEnd"/>
      <w:r>
        <w:rPr>
          <w:sz w:val="22"/>
          <w:szCs w:val="22"/>
        </w:rPr>
        <w:t xml:space="preserve"> altitudes. For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mission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strategies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formulated</w:t>
      </w:r>
      <w:proofErr w:type="spellEnd"/>
      <w:r>
        <w:rPr>
          <w:sz w:val="22"/>
          <w:szCs w:val="22"/>
        </w:rPr>
        <w:t xml:space="preserve"> for </w:t>
      </w:r>
      <w:proofErr w:type="spellStart"/>
      <w:r>
        <w:rPr>
          <w:sz w:val="22"/>
          <w:szCs w:val="22"/>
        </w:rPr>
        <w:t>mechanical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control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thermal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insulation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telemetry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transmission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By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acquiring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data,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conduct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study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atmospheric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efficiency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ozone </w:t>
      </w:r>
      <w:proofErr w:type="spellStart"/>
      <w:r>
        <w:rPr>
          <w:sz w:val="22"/>
          <w:szCs w:val="22"/>
        </w:rPr>
        <w:t>layer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blocking</w:t>
      </w:r>
      <w:proofErr w:type="spellEnd"/>
      <w:r>
        <w:rPr>
          <w:sz w:val="22"/>
          <w:szCs w:val="22"/>
        </w:rPr>
        <w:t xml:space="preserve"> UV-B </w:t>
      </w:r>
      <w:proofErr w:type="spellStart"/>
      <w:r>
        <w:rPr>
          <w:sz w:val="22"/>
          <w:szCs w:val="22"/>
        </w:rPr>
        <w:t>radiation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current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concentration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different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atmospheric</w:t>
      </w:r>
      <w:proofErr w:type="spellEnd"/>
      <w:r>
        <w:rPr>
          <w:sz w:val="22"/>
          <w:szCs w:val="22"/>
        </w:rPr>
        <w:t xml:space="preserve"> zones. </w:t>
      </w:r>
      <w:proofErr w:type="spellStart"/>
      <w:r>
        <w:rPr>
          <w:sz w:val="22"/>
          <w:szCs w:val="22"/>
        </w:rPr>
        <w:t>Additionally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operation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data capture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transmission</w:t>
      </w:r>
      <w:proofErr w:type="spellEnd"/>
      <w:r>
        <w:rPr>
          <w:sz w:val="22"/>
          <w:szCs w:val="22"/>
        </w:rPr>
        <w:t xml:space="preserve"> system </w:t>
      </w:r>
      <w:proofErr w:type="spellStart"/>
      <w:r>
        <w:rPr>
          <w:sz w:val="22"/>
          <w:szCs w:val="22"/>
        </w:rPr>
        <w:t>of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nanosatellite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structure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also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studied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</w:t>
      </w:r>
      <w:proofErr w:type="spellEnd"/>
      <w:r>
        <w:rPr>
          <w:sz w:val="22"/>
          <w:szCs w:val="22"/>
        </w:rPr>
        <w:t xml:space="preserve"> determine its </w:t>
      </w:r>
      <w:proofErr w:type="spellStart"/>
      <w:r>
        <w:rPr>
          <w:sz w:val="22"/>
          <w:szCs w:val="22"/>
        </w:rPr>
        <w:t>thermal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magnetic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electronic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efficiency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under</w:t>
      </w:r>
      <w:proofErr w:type="spellEnd"/>
      <w:r>
        <w:rPr>
          <w:sz w:val="22"/>
          <w:szCs w:val="22"/>
        </w:rPr>
        <w:t xml:space="preserve"> adverse </w:t>
      </w:r>
      <w:proofErr w:type="spellStart"/>
      <w:r>
        <w:rPr>
          <w:sz w:val="22"/>
          <w:szCs w:val="22"/>
        </w:rPr>
        <w:t>temperature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pressure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conditions</w:t>
      </w:r>
      <w:proofErr w:type="spellEnd"/>
      <w:r>
        <w:rPr>
          <w:sz w:val="22"/>
          <w:szCs w:val="22"/>
        </w:rPr>
        <w:t>.</w:t>
      </w:r>
    </w:p>
    <w:p w14:paraId="15740D2A" w14:textId="77777777" w:rsidR="008369CE" w:rsidRDefault="00000000">
      <w:pPr>
        <w:ind w:right="-1"/>
        <w:jc w:val="both"/>
        <w:rPr>
          <w:sz w:val="22"/>
          <w:szCs w:val="22"/>
        </w:rPr>
      </w:pPr>
      <w:r>
        <w:rPr>
          <w:b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Nanosatellite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environmental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variables</w:t>
      </w:r>
      <w:proofErr w:type="spellEnd"/>
      <w:r>
        <w:rPr>
          <w:sz w:val="22"/>
          <w:szCs w:val="22"/>
        </w:rPr>
        <w:t xml:space="preserve">, ozone </w:t>
      </w:r>
      <w:proofErr w:type="spellStart"/>
      <w:r>
        <w:rPr>
          <w:sz w:val="22"/>
          <w:szCs w:val="22"/>
        </w:rPr>
        <w:t>layer</w:t>
      </w:r>
      <w:proofErr w:type="spellEnd"/>
      <w:r>
        <w:rPr>
          <w:sz w:val="22"/>
          <w:szCs w:val="22"/>
        </w:rPr>
        <w:t xml:space="preserve">, UV-B, Carbon </w:t>
      </w:r>
      <w:proofErr w:type="spellStart"/>
      <w:r>
        <w:rPr>
          <w:sz w:val="22"/>
          <w:szCs w:val="22"/>
        </w:rPr>
        <w:t>Dioxide</w:t>
      </w:r>
      <w:proofErr w:type="spellEnd"/>
      <w:r>
        <w:rPr>
          <w:sz w:val="22"/>
          <w:szCs w:val="22"/>
        </w:rPr>
        <w:t>.</w:t>
      </w:r>
    </w:p>
    <w:p w14:paraId="2029C7A8" w14:textId="77777777" w:rsidR="008369CE" w:rsidRDefault="008369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DDD4D7C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INTRODUÇÃO</w:t>
      </w:r>
    </w:p>
    <w:p w14:paraId="2DF28140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color w:val="00000A"/>
          <w:sz w:val="22"/>
          <w:szCs w:val="22"/>
        </w:rPr>
        <w:t>A atmosfera terrestre é a camada de gases que envolve a Terra, composta principalmente por oxigênio, nitrogênio e gás carbônico, fundamental para a manutenção da vida no planeta. Considerando apenas os aspectos climatológicos, afirma-se que ela está situada até o limite de 100 km de altitude, contudo, em decorrência da ação gravitacional sobre os gases, sua localização pode se estender até 10.000 km.</w:t>
      </w:r>
    </w:p>
    <w:p w14:paraId="4B554566" w14:textId="0D571A13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A"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sz w:val="22"/>
          <w:szCs w:val="22"/>
        </w:rPr>
        <w:t>Na faixa de atmosfera compreendida entre 10 e 50 km de altitude localiza-se</w:t>
      </w:r>
      <w:r w:rsidR="005F517A">
        <w:rPr>
          <w:sz w:val="22"/>
          <w:szCs w:val="22"/>
        </w:rPr>
        <w:t xml:space="preserve"> uma</w:t>
      </w:r>
      <w:r>
        <w:rPr>
          <w:sz w:val="22"/>
          <w:szCs w:val="22"/>
        </w:rPr>
        <w:t xml:space="preserve"> frágil camada de ozônio (O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). </w:t>
      </w:r>
      <w:r>
        <w:rPr>
          <w:color w:val="00000A"/>
          <w:sz w:val="22"/>
          <w:szCs w:val="22"/>
        </w:rPr>
        <w:t>Em estágios próximos à superfície terrestre, o O</w:t>
      </w:r>
      <w:r>
        <w:rPr>
          <w:color w:val="00000A"/>
          <w:sz w:val="22"/>
          <w:szCs w:val="22"/>
          <w:vertAlign w:val="subscript"/>
        </w:rPr>
        <w:t>3</w:t>
      </w:r>
      <w:r>
        <w:rPr>
          <w:color w:val="00000A"/>
          <w:sz w:val="22"/>
          <w:szCs w:val="22"/>
        </w:rPr>
        <w:t xml:space="preserve"> pode contribuir com a formação de chuva ácida e poluição do ar, no entanto, em altitudes de 25 a 30 km, sua presença bloqueia 90% da radiação ultravioleta que chega à Terra (IPMA, 2023).</w:t>
      </w:r>
    </w:p>
    <w:p w14:paraId="21542908" w14:textId="03E43B86" w:rsidR="008369CE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A"/>
          <w:sz w:val="22"/>
          <w:szCs w:val="22"/>
        </w:rPr>
      </w:pPr>
      <w:r>
        <w:rPr>
          <w:color w:val="00000A"/>
          <w:sz w:val="22"/>
          <w:szCs w:val="22"/>
        </w:rPr>
        <w:t xml:space="preserve">Radiação Ultravioleta (UV) é toda radiação eletromagnética que possui comprimentos de onda no trecho 100-400 </w:t>
      </w:r>
      <w:proofErr w:type="spellStart"/>
      <w:r>
        <w:rPr>
          <w:color w:val="00000A"/>
          <w:sz w:val="22"/>
          <w:szCs w:val="22"/>
        </w:rPr>
        <w:t>nm</w:t>
      </w:r>
      <w:proofErr w:type="spellEnd"/>
      <w:r>
        <w:rPr>
          <w:color w:val="00000A"/>
          <w:sz w:val="22"/>
          <w:szCs w:val="22"/>
        </w:rPr>
        <w:t xml:space="preserve">. Ela é subdividida em UV-A (340-400 </w:t>
      </w:r>
      <w:proofErr w:type="spellStart"/>
      <w:r>
        <w:rPr>
          <w:color w:val="00000A"/>
          <w:sz w:val="22"/>
          <w:szCs w:val="22"/>
        </w:rPr>
        <w:t>nm</w:t>
      </w:r>
      <w:proofErr w:type="spellEnd"/>
      <w:r>
        <w:rPr>
          <w:color w:val="00000A"/>
          <w:sz w:val="22"/>
          <w:szCs w:val="22"/>
        </w:rPr>
        <w:t xml:space="preserve">), UV-B (280-340 </w:t>
      </w:r>
      <w:proofErr w:type="spellStart"/>
      <w:r>
        <w:rPr>
          <w:color w:val="00000A"/>
          <w:sz w:val="22"/>
          <w:szCs w:val="22"/>
        </w:rPr>
        <w:t>nm</w:t>
      </w:r>
      <w:proofErr w:type="spellEnd"/>
      <w:r>
        <w:rPr>
          <w:color w:val="00000A"/>
          <w:sz w:val="22"/>
          <w:szCs w:val="22"/>
        </w:rPr>
        <w:t xml:space="preserve">) e UV-C (100-280 </w:t>
      </w:r>
      <w:proofErr w:type="spellStart"/>
      <w:r>
        <w:rPr>
          <w:color w:val="00000A"/>
          <w:sz w:val="22"/>
          <w:szCs w:val="22"/>
        </w:rPr>
        <w:t>nm</w:t>
      </w:r>
      <w:proofErr w:type="spellEnd"/>
      <w:r>
        <w:rPr>
          <w:color w:val="00000A"/>
          <w:sz w:val="22"/>
          <w:szCs w:val="22"/>
        </w:rPr>
        <w:t xml:space="preserve">). É a radiação mais energética emitida pelo Sol, possui cerca de 9% de toda energia que chega </w:t>
      </w:r>
      <w:r>
        <w:rPr>
          <w:color w:val="00000A"/>
          <w:sz w:val="22"/>
          <w:szCs w:val="22"/>
        </w:rPr>
        <w:lastRenderedPageBreak/>
        <w:t xml:space="preserve">à Terra, dos quais 1,36% é proveniente do espectro UV-B (Silva, 2017). A absorção dos </w:t>
      </w:r>
      <w:r w:rsidR="002015B6">
        <w:rPr>
          <w:color w:val="00000A"/>
          <w:sz w:val="22"/>
          <w:szCs w:val="22"/>
        </w:rPr>
        <w:t>raios UV</w:t>
      </w:r>
      <w:r>
        <w:rPr>
          <w:color w:val="00000A"/>
          <w:sz w:val="22"/>
          <w:szCs w:val="22"/>
        </w:rPr>
        <w:t xml:space="preserve"> pode proporcionar danos consideráveis à pele humana. Em situações mais agudas, pode acarretar na formação de queimaduras e bronzeamento, já em casos mais críticos, causa fotoenvelhecimento e câncer de pele.</w:t>
      </w:r>
    </w:p>
    <w:p w14:paraId="34B6DC9E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O gás ozônio atmosférico (O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) é formado pela interação da radiação UV com a molécula de gás oxigênio (O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). O 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em contato com o UV mais energético, quebra-se formando dois átomos de oxigênio atômico (O) que tenderão a se unir com outras moléculas de 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. A produção de O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 ocorre na etapa seguinte, quando o 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se associa com um átomo de oxigênio (O), formando assim o ozônio (Kerr, 2013). </w:t>
      </w:r>
    </w:p>
    <w:p w14:paraId="663A6287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ab/>
        <w:t>Um mecanismo que proporciona a atenuação da camada de ozônio criado pelo homem, são as chamadas moléculas de clorofluorcarbonetos (CFC). Elas são utilizadas em uma série de aplicações industriais, como na refrigeração e na fabricação de plásticos. Em sua essência, reage rapidamente com o ozônio produzindo um óxido de cloro e oxigênio molecular (Junges, 2021). O maior problema desse tipo de molécula, destruidora de O</w:t>
      </w:r>
      <w:r>
        <w:rPr>
          <w:sz w:val="22"/>
          <w:szCs w:val="22"/>
          <w:vertAlign w:val="subscript"/>
        </w:rPr>
        <w:t>3,</w:t>
      </w:r>
      <w:r>
        <w:rPr>
          <w:sz w:val="22"/>
          <w:szCs w:val="22"/>
        </w:rPr>
        <w:t xml:space="preserve"> é sua permanência duradoura na atmosfera, assim, ela afeta a camada de ozônio durante vários anos.</w:t>
      </w:r>
    </w:p>
    <w:p w14:paraId="68E2B9AB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A"/>
          <w:sz w:val="22"/>
          <w:szCs w:val="22"/>
        </w:rPr>
      </w:pPr>
      <w:r>
        <w:rPr>
          <w:sz w:val="22"/>
          <w:szCs w:val="22"/>
        </w:rPr>
        <w:tab/>
        <w:t>Pesquisas espaciais realizadas a partir de 1960, trazem apontamentos sobre a diminuição de concentração da camada de ozônio. Esta redução, da ordem de 4% por década, continua até hoje e deve permanecer nesta tendência por várias décadas (Leme, 2014).</w:t>
      </w:r>
    </w:p>
    <w:p w14:paraId="5CF9D326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  <w:highlight w:val="white"/>
        </w:rPr>
      </w:pPr>
      <w:r>
        <w:rPr>
          <w:color w:val="00000A"/>
          <w:sz w:val="22"/>
          <w:szCs w:val="22"/>
        </w:rPr>
        <w:tab/>
      </w:r>
      <w:r>
        <w:rPr>
          <w:sz w:val="22"/>
          <w:szCs w:val="22"/>
          <w:highlight w:val="white"/>
        </w:rPr>
        <w:t>O Dióxido de Carbono (CO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>) é um gás pesado formado por duas moléculas de oxigênio e uma de carbono. O CO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 xml:space="preserve"> é mais comumente depositado nas camadas mais baixas da atmosfera e é o principal resultado da queima de combustíveis fósseis. Por ser mais denso, dificulta a mobilidade dos outros gases atmosféricos criando zonas com diferenças acentuadas de umidade. Desse modo, formam-se regiões com precipitação irregular e, portanto, capazes de alterar o volume de chuvas e a maioria das variáveis climáticas do ambiente. Além disso, segundo (Pelegrini &amp; Araújo, 2018), o CO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 xml:space="preserve"> juntamente com as moléculas de CFCs, CH</w:t>
      </w:r>
      <w:r>
        <w:rPr>
          <w:sz w:val="22"/>
          <w:szCs w:val="22"/>
          <w:highlight w:val="white"/>
          <w:vertAlign w:val="subscript"/>
        </w:rPr>
        <w:t>4</w:t>
      </w:r>
      <w:r>
        <w:rPr>
          <w:sz w:val="22"/>
          <w:szCs w:val="22"/>
          <w:highlight w:val="white"/>
        </w:rPr>
        <w:t xml:space="preserve">, </w:t>
      </w:r>
      <w:proofErr w:type="spellStart"/>
      <w:r>
        <w:rPr>
          <w:sz w:val="22"/>
          <w:szCs w:val="22"/>
          <w:highlight w:val="white"/>
        </w:rPr>
        <w:t>HFCs</w:t>
      </w:r>
      <w:proofErr w:type="spellEnd"/>
      <w:r>
        <w:rPr>
          <w:sz w:val="22"/>
          <w:szCs w:val="22"/>
          <w:highlight w:val="white"/>
        </w:rPr>
        <w:t xml:space="preserve"> e N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>O, possui alto grau de absorção de energia no espectro infravermelho sendo, por isso, um dos principais gases do efeito estufa.</w:t>
      </w:r>
    </w:p>
    <w:p w14:paraId="77264692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ab/>
      </w:r>
      <w:r>
        <w:rPr>
          <w:sz w:val="22"/>
          <w:szCs w:val="22"/>
        </w:rPr>
        <w:t xml:space="preserve">Motivado pelo cenário descrito acima, o projeto busca a utilização de um </w:t>
      </w:r>
      <w:proofErr w:type="spellStart"/>
      <w:r>
        <w:rPr>
          <w:sz w:val="22"/>
          <w:szCs w:val="22"/>
        </w:rPr>
        <w:t>nanossatélite</w:t>
      </w:r>
      <w:proofErr w:type="spellEnd"/>
      <w:r>
        <w:rPr>
          <w:sz w:val="22"/>
          <w:szCs w:val="22"/>
        </w:rPr>
        <w:t xml:space="preserve"> para captura e tratamento de dados atmosféricos, a fim de mensurar a concentração de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e a intensidade de radiação UV-B em diferentes altitudes da atmosfera.</w:t>
      </w:r>
    </w:p>
    <w:p w14:paraId="126E5337" w14:textId="77777777" w:rsidR="008369CE" w:rsidRDefault="008369C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14:paraId="2D7B2858" w14:textId="77777777" w:rsidR="008369CE" w:rsidRDefault="00000000">
      <w:pPr>
        <w:ind w:right="-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MATERIAL E MÉTODOS </w:t>
      </w:r>
    </w:p>
    <w:p w14:paraId="68C776C2" w14:textId="53A991AB" w:rsidR="008369CE" w:rsidRDefault="00000000">
      <w:pPr>
        <w:ind w:right="-1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O </w:t>
      </w:r>
      <w:proofErr w:type="spellStart"/>
      <w:r>
        <w:rPr>
          <w:sz w:val="22"/>
          <w:szCs w:val="22"/>
        </w:rPr>
        <w:t>nanossatélite</w:t>
      </w:r>
      <w:proofErr w:type="spellEnd"/>
      <w:r>
        <w:rPr>
          <w:sz w:val="22"/>
          <w:szCs w:val="22"/>
        </w:rPr>
        <w:t xml:space="preserve"> utilizado no projeto atende à especificação CUBESAT. O CUBESAT é um satélite miniaturizado aplicado em pesquisas espaciais de pequeno e médio porte. A estrutura padrão possui volume de 1 litro (um cubo de 10x10x10 cm), esse tipo de satélite usa componentes eletrônicos em uma estrutura vertical espaçadamente disposta em “prateleira”. A maior parte das utilizações do CUBESAT é acadêmica e radioamadora, porém há um interesse crescente em aplicá-lo para fins comerciais. Para os resultados apresentados no presente artigo </w:t>
      </w:r>
      <w:r w:rsidR="002015B6">
        <w:rPr>
          <w:sz w:val="22"/>
          <w:szCs w:val="22"/>
        </w:rPr>
        <w:t>foi utilizado</w:t>
      </w:r>
      <w:r>
        <w:rPr>
          <w:sz w:val="22"/>
          <w:szCs w:val="22"/>
        </w:rPr>
        <w:t xml:space="preserve"> um CUBESAT capaz de viabilizar a coleta, tratamento e envio de dados atmosféricos a fim de mensurar as variáveis de interesse: a radiação UV-B e a concentração de CO</w:t>
      </w:r>
      <w:r>
        <w:rPr>
          <w:sz w:val="22"/>
          <w:szCs w:val="22"/>
          <w:vertAlign w:val="subscript"/>
        </w:rPr>
        <w:t>2,</w:t>
      </w:r>
      <w:r>
        <w:rPr>
          <w:sz w:val="22"/>
          <w:szCs w:val="22"/>
        </w:rPr>
        <w:t xml:space="preserve"> em diferentes altitudes.</w:t>
      </w:r>
    </w:p>
    <w:p w14:paraId="4723D28F" w14:textId="77777777" w:rsidR="008369CE" w:rsidRDefault="00000000">
      <w:pPr>
        <w:ind w:right="-1"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Radiação Ultravioleta Tipo B (UV-B), denominada luz </w:t>
      </w:r>
      <w:proofErr w:type="spellStart"/>
      <w:r>
        <w:rPr>
          <w:sz w:val="22"/>
          <w:szCs w:val="22"/>
        </w:rPr>
        <w:t>eritematogênica</w:t>
      </w:r>
      <w:proofErr w:type="spellEnd"/>
      <w:r>
        <w:rPr>
          <w:sz w:val="22"/>
          <w:szCs w:val="22"/>
        </w:rPr>
        <w:t xml:space="preserve">, representa uma pequena porção do espectro eletromagnético (280-340 </w:t>
      </w:r>
      <w:proofErr w:type="spellStart"/>
      <w:r>
        <w:rPr>
          <w:sz w:val="22"/>
          <w:szCs w:val="22"/>
        </w:rPr>
        <w:t>nm</w:t>
      </w:r>
      <w:proofErr w:type="spellEnd"/>
      <w:r>
        <w:rPr>
          <w:sz w:val="22"/>
          <w:szCs w:val="22"/>
        </w:rPr>
        <w:t xml:space="preserve">), porém é a maior responsável pelas lesões crônicas na pele humana, como o eritema e o câncer cutâneo. A radiação ainda é capaz de provocar a supressão do sistema imunológico e o rompimento de ligações de hidrogênio na estrutura do DNA (Santos, 2010). </w:t>
      </w:r>
    </w:p>
    <w:p w14:paraId="445188DF" w14:textId="2537D83E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O chamado Índice de Radiação Ultravioleta (IUV),</w:t>
      </w:r>
      <w:r w:rsidR="002015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que mede unidades de irradiação de 0,25 mW/m² considerando a irradiância espectral e a ação </w:t>
      </w:r>
      <w:proofErr w:type="spellStart"/>
      <w:r>
        <w:rPr>
          <w:sz w:val="22"/>
          <w:szCs w:val="22"/>
        </w:rPr>
        <w:t>eritêmica</w:t>
      </w:r>
      <w:proofErr w:type="spellEnd"/>
      <w:r>
        <w:rPr>
          <w:sz w:val="22"/>
          <w:szCs w:val="22"/>
        </w:rPr>
        <w:t xml:space="preserve">, é uma medida da intensidade da radiação UV, especialmente relacionada aos danos em potencial sobre a pele humana. Define-se a irradiância espectral (energia por unidade de </w:t>
      </w:r>
      <w:r w:rsidR="002015B6">
        <w:rPr>
          <w:sz w:val="22"/>
          <w:szCs w:val="22"/>
        </w:rPr>
        <w:t>área) proporcionada</w:t>
      </w:r>
      <w:r>
        <w:rPr>
          <w:sz w:val="22"/>
          <w:szCs w:val="22"/>
        </w:rPr>
        <w:t xml:space="preserve"> por ondas na banda UV e pondera-se de acordo com a resposta da pele humana à radiação ultravioleta no trecho UV-B, formulada segundo norma da CIE (</w:t>
      </w:r>
      <w:r>
        <w:rPr>
          <w:i/>
          <w:sz w:val="22"/>
          <w:szCs w:val="22"/>
        </w:rPr>
        <w:t xml:space="preserve">Commission </w:t>
      </w:r>
      <w:proofErr w:type="spellStart"/>
      <w:r>
        <w:rPr>
          <w:i/>
          <w:sz w:val="22"/>
          <w:szCs w:val="22"/>
        </w:rPr>
        <w:t>on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Illumination</w:t>
      </w:r>
      <w:proofErr w:type="spellEnd"/>
      <w:r>
        <w:rPr>
          <w:sz w:val="22"/>
          <w:szCs w:val="22"/>
        </w:rPr>
        <w:t>).</w:t>
      </w:r>
    </w:p>
    <w:p w14:paraId="06FCB373" w14:textId="77777777" w:rsidR="008369CE" w:rsidRDefault="00000000">
      <w:pPr>
        <w:ind w:firstLine="720"/>
        <w:jc w:val="both"/>
        <w:rPr>
          <w:rFonts w:ascii="Arial" w:eastAsia="Arial" w:hAnsi="Arial" w:cs="Arial"/>
        </w:rPr>
      </w:pPr>
      <w:r>
        <w:rPr>
          <w:sz w:val="22"/>
          <w:szCs w:val="22"/>
        </w:rPr>
        <w:lastRenderedPageBreak/>
        <w:t>Para medição de IUV é usado o sensor GUVA-S12SD incorporado a uma placa própria. Ele é adicionado em uma localização individual na parte superior da estrutura, vide Figura 1(b). O módulo opera em temperaturas de -30 a 85ºC. De forma geral, é capaz de reagir a comprimentos de onda na faixa de 240 a 370nm, ou seja, no trecho UV-B do espectro.</w:t>
      </w:r>
    </w:p>
    <w:p w14:paraId="277CED7D" w14:textId="63F6CF9D" w:rsidR="008369CE" w:rsidRDefault="00000000">
      <w:pPr>
        <w:ind w:firstLine="720"/>
        <w:jc w:val="both"/>
        <w:rPr>
          <w:rFonts w:ascii="Arial" w:eastAsia="Arial" w:hAnsi="Arial" w:cs="Arial"/>
          <w:highlight w:val="white"/>
        </w:rPr>
      </w:pPr>
      <w:r>
        <w:rPr>
          <w:sz w:val="22"/>
          <w:szCs w:val="22"/>
          <w:highlight w:val="white"/>
        </w:rPr>
        <w:t>A medição de CO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 xml:space="preserve"> é realizada através do chip CCS811 incorporado como um sensor interno do CUBESAT. A estrutura de funcionamento é fundamentada por um sensor digital com consumo muito baixo de energia, corrente de 30</w:t>
      </w:r>
      <w:r w:rsidR="00A67ABD">
        <w:rPr>
          <w:sz w:val="22"/>
          <w:szCs w:val="22"/>
          <w:highlight w:val="white"/>
        </w:rPr>
        <w:t xml:space="preserve"> </w:t>
      </w:r>
      <w:proofErr w:type="spellStart"/>
      <w:r>
        <w:rPr>
          <w:sz w:val="22"/>
          <w:szCs w:val="22"/>
          <w:highlight w:val="white"/>
        </w:rPr>
        <w:t>mA</w:t>
      </w:r>
      <w:proofErr w:type="spellEnd"/>
      <w:r>
        <w:rPr>
          <w:sz w:val="22"/>
          <w:szCs w:val="22"/>
          <w:highlight w:val="white"/>
        </w:rPr>
        <w:t xml:space="preserve"> e potência de 60</w:t>
      </w:r>
      <w:r w:rsidR="00A67ABD"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 xml:space="preserve">mW, no modo típico de operação. A comunicação utilizada é via protocolo I2C, o qual proporciona uma rápida e otimizada responsividade com o microcontrolador do computador de bordo. O sensor é capaz de operar em uma faixa de -40 a 85ºC. A capacidade de processamento é tomada a partir do tempo de resposta a comandos I2C de 1ms. Além disso, é capaz de realizar medições de 400 a 32768 </w:t>
      </w:r>
      <w:proofErr w:type="spellStart"/>
      <w:r>
        <w:rPr>
          <w:sz w:val="22"/>
          <w:szCs w:val="22"/>
          <w:highlight w:val="white"/>
        </w:rPr>
        <w:t>ppm</w:t>
      </w:r>
      <w:proofErr w:type="spellEnd"/>
      <w:r>
        <w:rPr>
          <w:sz w:val="22"/>
          <w:szCs w:val="22"/>
          <w:highlight w:val="white"/>
        </w:rPr>
        <w:t>, ou seja, de 400 a 32768 mg/L, em uma conversão direta de unidades.</w:t>
      </w:r>
    </w:p>
    <w:p w14:paraId="7EAF9C6A" w14:textId="77777777" w:rsidR="008369CE" w:rsidRDefault="00000000">
      <w:pPr>
        <w:ind w:firstLine="72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Para enviar as informações ao receptor terrestre é utilizado um sistema de comunicação via protocolo web HTTP POST. A estrutura principal do diagrama de controle define uma estratégia baseada no monitoramento inteligente do tempo, uso controlado das funcionalidades do transmissor Wi-Fi, obtenção rápida de dados e calibração segura dos sensores. Além disso, toda a estrutura é colocada em hibernação por um período definido de tempo para garantir o uso controlado de energia, dando seguridade para o sistema de alimentação em baixas temperaturas. </w:t>
      </w:r>
    </w:p>
    <w:p w14:paraId="32107DB4" w14:textId="77777777" w:rsidR="008369CE" w:rsidRDefault="00000000">
      <w:pPr>
        <w:ind w:firstLine="72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O fluxograma completo pode ser descrito como: (1) Captura de dados padrões para verificações preliminares: temperatura, nível da bateria, pressão, acelerômetro e giroscópio; (2) Captura de dados no sensor de radiação UV-B GUVA-S12SD; (3) Captura de dados no sensor de CO</w:t>
      </w:r>
      <w:r>
        <w:rPr>
          <w:sz w:val="22"/>
          <w:szCs w:val="22"/>
          <w:highlight w:val="white"/>
          <w:vertAlign w:val="subscript"/>
        </w:rPr>
        <w:t>2</w:t>
      </w:r>
      <w:r>
        <w:rPr>
          <w:sz w:val="22"/>
          <w:szCs w:val="22"/>
          <w:highlight w:val="white"/>
        </w:rPr>
        <w:t xml:space="preserve"> CCS811; (4) Obtenção da altitude; (5) Armazenamento dos dados em memória interna (cartão Micro SD); (6) Encapsulamento dos dados em uma mensagem no formato JSON; (7) Conexão com o Wi-Fi on-board da cápsula; (8) Envio de dados para o servidor terrestre a cada 3 minutos.</w:t>
      </w:r>
    </w:p>
    <w:p w14:paraId="3DB32B25" w14:textId="77777777" w:rsidR="008369CE" w:rsidRDefault="008369CE">
      <w:pPr>
        <w:ind w:firstLine="720"/>
        <w:jc w:val="both"/>
        <w:rPr>
          <w:sz w:val="22"/>
          <w:szCs w:val="22"/>
          <w:highlight w:val="white"/>
        </w:rPr>
      </w:pPr>
    </w:p>
    <w:p w14:paraId="1D8B1298" w14:textId="77777777" w:rsidR="008369CE" w:rsidRDefault="00000000">
      <w:pPr>
        <w:tabs>
          <w:tab w:val="left" w:pos="0"/>
        </w:tabs>
        <w:jc w:val="both"/>
        <w:rPr>
          <w:sz w:val="22"/>
          <w:szCs w:val="22"/>
        </w:rPr>
      </w:pPr>
      <w:r>
        <w:rPr>
          <w:b/>
          <w:sz w:val="22"/>
          <w:szCs w:val="22"/>
        </w:rPr>
        <w:t>RESULTADOS E DISCUSSÃO</w:t>
      </w:r>
    </w:p>
    <w:p w14:paraId="7B551720" w14:textId="77777777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Durante a realização da Fase 3ª da Olimpíada Brasileira de Satélites MCTI - OBSAT o protótipo foi lançado por meio de uma cápsula acoplada a um balão estratosférico que comportou os </w:t>
      </w:r>
      <w:proofErr w:type="spellStart"/>
      <w:r>
        <w:rPr>
          <w:sz w:val="22"/>
          <w:szCs w:val="22"/>
        </w:rPr>
        <w:t>CUBESATs</w:t>
      </w:r>
      <w:proofErr w:type="spellEnd"/>
      <w:r>
        <w:rPr>
          <w:sz w:val="22"/>
          <w:szCs w:val="22"/>
        </w:rPr>
        <w:t xml:space="preserve"> das equipes premiadas na etapa regional nordeste. A cápsula disponibilizada pela comissão organizadora possibilitou a realização da missão planejada para tal fase e o sistema de comunicação com o servidor on-board foi primordial para a recepção de dados. </w:t>
      </w:r>
    </w:p>
    <w:p w14:paraId="0A651286" w14:textId="77777777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Adicionalmente, as telemetrias foram gravadas em uma memória externa do CUBESAT através de um cartão micro SD com a criação de arquivos no formato .</w:t>
      </w:r>
      <w:proofErr w:type="spellStart"/>
      <w:r>
        <w:rPr>
          <w:sz w:val="22"/>
          <w:szCs w:val="22"/>
        </w:rPr>
        <w:t>csv</w:t>
      </w:r>
      <w:proofErr w:type="spellEnd"/>
      <w:r>
        <w:rPr>
          <w:sz w:val="22"/>
          <w:szCs w:val="22"/>
        </w:rPr>
        <w:t>. Os dados puderam, então, ser armazenados para consulta posterior.</w:t>
      </w:r>
    </w:p>
    <w:p w14:paraId="628467BC" w14:textId="77777777" w:rsidR="008369CE" w:rsidRDefault="008369CE">
      <w:pPr>
        <w:ind w:firstLine="720"/>
        <w:jc w:val="both"/>
        <w:rPr>
          <w:sz w:val="22"/>
          <w:szCs w:val="22"/>
        </w:rPr>
      </w:pPr>
    </w:p>
    <w:p w14:paraId="0C8C74F6" w14:textId="77777777" w:rsidR="008369CE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Figura 1. Lançamento e rastreamento dos </w:t>
      </w:r>
      <w:proofErr w:type="spellStart"/>
      <w:r>
        <w:rPr>
          <w:sz w:val="22"/>
          <w:szCs w:val="22"/>
        </w:rPr>
        <w:t>CUBESATs</w:t>
      </w:r>
      <w:proofErr w:type="spellEnd"/>
      <w:r>
        <w:rPr>
          <w:sz w:val="22"/>
          <w:szCs w:val="22"/>
        </w:rPr>
        <w:t xml:space="preserve"> durante o lançamento.</w:t>
      </w:r>
    </w:p>
    <w:p w14:paraId="036FB6CC" w14:textId="32D586C5" w:rsidR="008369CE" w:rsidRPr="003930B5" w:rsidRDefault="00000000" w:rsidP="003930B5">
      <w:pPr>
        <w:pStyle w:val="PargrafodaLista"/>
        <w:numPr>
          <w:ilvl w:val="0"/>
          <w:numId w:val="2"/>
        </w:numPr>
        <w:jc w:val="center"/>
        <w:rPr>
          <w:sz w:val="22"/>
          <w:szCs w:val="22"/>
        </w:rPr>
      </w:pPr>
      <w:r w:rsidRPr="003930B5">
        <w:rPr>
          <w:sz w:val="22"/>
          <w:szCs w:val="22"/>
        </w:rPr>
        <w:t xml:space="preserve">Cápsula acoplada ao </w:t>
      </w:r>
      <w:r w:rsidR="003930B5">
        <w:rPr>
          <w:sz w:val="22"/>
          <w:szCs w:val="22"/>
        </w:rPr>
        <w:t>b</w:t>
      </w:r>
      <w:r w:rsidRPr="003930B5">
        <w:rPr>
          <w:sz w:val="22"/>
          <w:szCs w:val="22"/>
        </w:rPr>
        <w:t xml:space="preserve">alão </w:t>
      </w:r>
      <w:r w:rsidR="003930B5">
        <w:rPr>
          <w:sz w:val="22"/>
          <w:szCs w:val="22"/>
        </w:rPr>
        <w:t>e</w:t>
      </w:r>
      <w:r w:rsidRPr="003930B5">
        <w:rPr>
          <w:sz w:val="22"/>
          <w:szCs w:val="22"/>
        </w:rPr>
        <w:t>stratosférico.            (b) Estrutura do CUBESAT.</w:t>
      </w:r>
      <w:r w:rsidRPr="003930B5">
        <w:rPr>
          <w:rFonts w:ascii="Arial" w:eastAsia="Arial" w:hAnsi="Arial" w:cs="Arial"/>
          <w:sz w:val="22"/>
          <w:szCs w:val="22"/>
        </w:rPr>
        <w:t xml:space="preserve">                   </w:t>
      </w:r>
      <w:r w:rsidR="003930B5" w:rsidRPr="003930B5">
        <w:rPr>
          <w:rFonts w:ascii="Arial" w:eastAsia="Arial" w:hAnsi="Arial" w:cs="Arial"/>
          <w:sz w:val="22"/>
          <w:szCs w:val="22"/>
        </w:rPr>
        <w:t xml:space="preserve">   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60292C77" wp14:editId="13962457">
            <wp:extent cx="1628775" cy="1476375"/>
            <wp:effectExtent l="0" t="0" r="9525" b="9525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149" cy="1476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930B5">
        <w:rPr>
          <w:rFonts w:ascii="Arial" w:eastAsia="Arial" w:hAnsi="Arial" w:cs="Arial"/>
          <w:sz w:val="22"/>
          <w:szCs w:val="22"/>
        </w:rPr>
        <w:t xml:space="preserve">                           </w:t>
      </w:r>
      <w:r>
        <w:rPr>
          <w:rFonts w:ascii="Arial" w:eastAsia="Arial" w:hAnsi="Arial" w:cs="Arial"/>
          <w:noProof/>
        </w:rPr>
        <w:drawing>
          <wp:inline distT="19050" distB="19050" distL="19050" distR="19050" wp14:anchorId="3F7426E4" wp14:editId="3260BAE8">
            <wp:extent cx="1847850" cy="1390650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25306" r="17258" b="41735"/>
                    <a:stretch>
                      <a:fillRect/>
                    </a:stretch>
                  </pic:blipFill>
                  <pic:spPr>
                    <a:xfrm>
                      <a:off x="0" y="0"/>
                      <a:ext cx="1848156" cy="1390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B2BF1" w14:textId="77777777" w:rsidR="00FF185E" w:rsidRDefault="00FF185E" w:rsidP="00FF185E">
      <w:pPr>
        <w:ind w:left="720"/>
        <w:rPr>
          <w:sz w:val="22"/>
          <w:szCs w:val="22"/>
        </w:rPr>
      </w:pPr>
    </w:p>
    <w:p w14:paraId="6FC450C7" w14:textId="77777777" w:rsidR="008369CE" w:rsidRDefault="00000000">
      <w:pPr>
        <w:ind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Após o lançamento, o balão esteve na atmosfera durante um tempo aproximado de 2,5 horas e conseguiu atingir uma altitude máxima de 27 km. Além disso, foi possível acompanhar toda a sua </w:t>
      </w:r>
      <w:r>
        <w:rPr>
          <w:sz w:val="22"/>
          <w:szCs w:val="22"/>
        </w:rPr>
        <w:lastRenderedPageBreak/>
        <w:t>trajetória, medições internas e velocidades relativas em tempo real por meio do rastreador disponibilizado pela comissão organizadora.</w:t>
      </w:r>
    </w:p>
    <w:p w14:paraId="595BC3A0" w14:textId="77777777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modo geral, foi possível realizar medições durante um tempo aproximado de 2 horas. Ao todo foram 38 linhas de dados separadas por um tempo de 3 minutos. Cada linha contemplou a aquisição de dados padronizados como temperatura, pressão, bateria e outros; e dados da </w:t>
      </w:r>
      <w:proofErr w:type="spellStart"/>
      <w:r>
        <w:rPr>
          <w:sz w:val="22"/>
          <w:szCs w:val="22"/>
        </w:rPr>
        <w:t>payload</w:t>
      </w:r>
      <w:proofErr w:type="spellEnd"/>
      <w:r>
        <w:rPr>
          <w:sz w:val="22"/>
          <w:szCs w:val="22"/>
        </w:rPr>
        <w:t>: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, IUV e altitude.</w:t>
      </w:r>
    </w:p>
    <w:p w14:paraId="306CA92B" w14:textId="77777777" w:rsidR="008369CE" w:rsidRDefault="008369CE">
      <w:pPr>
        <w:ind w:firstLine="720"/>
        <w:jc w:val="both"/>
        <w:rPr>
          <w:sz w:val="22"/>
          <w:szCs w:val="22"/>
        </w:rPr>
      </w:pPr>
    </w:p>
    <w:p w14:paraId="53A29A81" w14:textId="77777777" w:rsidR="008369CE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Figura 2. Gráficos de temperatura e nível de bateria.</w:t>
      </w:r>
    </w:p>
    <w:p w14:paraId="200E366F" w14:textId="77777777" w:rsidR="008369CE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(a) Temperatura </w:t>
      </w:r>
      <w:r>
        <w:rPr>
          <w:i/>
          <w:sz w:val="22"/>
          <w:szCs w:val="22"/>
        </w:rPr>
        <w:t>versus</w:t>
      </w:r>
      <w:r>
        <w:rPr>
          <w:sz w:val="22"/>
          <w:szCs w:val="22"/>
        </w:rPr>
        <w:t xml:space="preserve"> altitude.                               (b) Nível de bateria </w:t>
      </w:r>
      <w:r>
        <w:rPr>
          <w:i/>
          <w:sz w:val="22"/>
          <w:szCs w:val="22"/>
        </w:rPr>
        <w:t xml:space="preserve">versus </w:t>
      </w:r>
      <w:r>
        <w:rPr>
          <w:sz w:val="22"/>
          <w:szCs w:val="22"/>
        </w:rPr>
        <w:t>altitude.</w:t>
      </w:r>
    </w:p>
    <w:p w14:paraId="5C4B058E" w14:textId="77777777" w:rsidR="008369CE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EFC3F5B" wp14:editId="0E177435">
            <wp:extent cx="2697000" cy="1816536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000" cy="1816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   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4D1C92E" wp14:editId="6F1FBED4">
            <wp:extent cx="2711288" cy="181068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288" cy="1810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1127F" w14:textId="77777777" w:rsidR="008369CE" w:rsidRDefault="008369CE">
      <w:pPr>
        <w:jc w:val="center"/>
        <w:rPr>
          <w:rFonts w:ascii="Arial" w:eastAsia="Arial" w:hAnsi="Arial" w:cs="Arial"/>
          <w:sz w:val="22"/>
          <w:szCs w:val="22"/>
        </w:rPr>
      </w:pPr>
    </w:p>
    <w:p w14:paraId="20CF59EC" w14:textId="5749B58B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gráfico da Figura 2(a) mostra a relação </w:t>
      </w:r>
      <w:r w:rsidR="002015B6">
        <w:rPr>
          <w:sz w:val="22"/>
          <w:szCs w:val="22"/>
        </w:rPr>
        <w:t>entre temperatura</w:t>
      </w:r>
      <w:r>
        <w:rPr>
          <w:sz w:val="22"/>
          <w:szCs w:val="22"/>
        </w:rPr>
        <w:t xml:space="preserve"> e altitude, já o gráfico da Figura 2(b) mostra como a eficiência da bateria varia com a altitude e, consequentemente, com a temperatura. Tal resultado está de acordo com o previsto na literatura. Por isso, buscamos dimensionar o sistema de isolamento térmico da bateria para condicionar sua eficiência a níveis aceitáveis, já que, ela reduz com a diminuição da temperatura. Analisando o comportamento da curva mostrada na Figura 2(b) no intervalo de 15 a 20 km verificamos que a taxa de consumo foi muito maior. Esse trecho corresponde às menores temperaturas medidas, como pode ser observado na Figura 2(a).</w:t>
      </w:r>
    </w:p>
    <w:p w14:paraId="4DB966A9" w14:textId="77777777" w:rsidR="008369CE" w:rsidRDefault="008369CE">
      <w:pPr>
        <w:ind w:firstLine="720"/>
        <w:jc w:val="both"/>
        <w:rPr>
          <w:sz w:val="22"/>
          <w:szCs w:val="22"/>
        </w:rPr>
      </w:pPr>
    </w:p>
    <w:p w14:paraId="5CA43683" w14:textId="77777777" w:rsidR="008369CE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Figura 3. Gráficos de IUV e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.</w:t>
      </w:r>
    </w:p>
    <w:p w14:paraId="22CC269E" w14:textId="77777777" w:rsidR="008369CE" w:rsidRDefault="00000000">
      <w:pPr>
        <w:jc w:val="both"/>
        <w:rPr>
          <w:rFonts w:ascii="Arial" w:eastAsia="Arial" w:hAnsi="Arial" w:cs="Arial"/>
        </w:rPr>
      </w:pPr>
      <w:r>
        <w:rPr>
          <w:sz w:val="22"/>
          <w:szCs w:val="22"/>
        </w:rPr>
        <w:t xml:space="preserve">           (a) IUV </w:t>
      </w:r>
      <w:r>
        <w:rPr>
          <w:i/>
          <w:sz w:val="22"/>
          <w:szCs w:val="22"/>
        </w:rPr>
        <w:t xml:space="preserve">versus </w:t>
      </w:r>
      <w:r>
        <w:rPr>
          <w:sz w:val="22"/>
          <w:szCs w:val="22"/>
        </w:rPr>
        <w:t>altitude.                                         (b) Concentração de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versus</w:t>
      </w:r>
      <w:r>
        <w:rPr>
          <w:sz w:val="22"/>
          <w:szCs w:val="22"/>
        </w:rPr>
        <w:t xml:space="preserve"> altitude. </w:t>
      </w:r>
    </w:p>
    <w:p w14:paraId="0CF24BE0" w14:textId="77777777" w:rsidR="008369CE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2FE8B20B" wp14:editId="0D03208C">
            <wp:extent cx="2758913" cy="183623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913" cy="183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4C045873" wp14:editId="5DC21974">
            <wp:extent cx="2799512" cy="1860079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512" cy="1860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586FF" w14:textId="77777777" w:rsidR="008369CE" w:rsidRDefault="008369CE">
      <w:pPr>
        <w:jc w:val="center"/>
        <w:rPr>
          <w:rFonts w:ascii="Arial" w:eastAsia="Arial" w:hAnsi="Arial" w:cs="Arial"/>
          <w:sz w:val="22"/>
          <w:szCs w:val="22"/>
        </w:rPr>
      </w:pPr>
    </w:p>
    <w:p w14:paraId="5A28CE6F" w14:textId="6E440D2E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índice UV apresentou uma congruência considerável com os apontamentos teóricos realizados anteriormente em pesquisa documental e no relatório preliminar da missão. Em altitudes elevadas a radiação ultravioleta é menos difusa pela proximidade da camada de ozônio e, portanto, é natural que sejam realizadas medições com os maiores valores para o IUV. O gráfico da Figura 3(a) também apresenta </w:t>
      </w:r>
      <w:r w:rsidR="002015B6">
        <w:rPr>
          <w:sz w:val="22"/>
          <w:szCs w:val="22"/>
        </w:rPr>
        <w:t>uma taxa</w:t>
      </w:r>
      <w:r>
        <w:rPr>
          <w:sz w:val="22"/>
          <w:szCs w:val="22"/>
        </w:rPr>
        <w:t xml:space="preserve"> de variação considerável do IUV com relação a altitude em estágios de 5 a </w:t>
      </w:r>
      <w:r>
        <w:rPr>
          <w:sz w:val="22"/>
          <w:szCs w:val="22"/>
        </w:rPr>
        <w:lastRenderedPageBreak/>
        <w:t>15 km, isso é explicado pelo crescimento exponencial de radiação UV-B, trecho espectral onde as leituras são realizadas, com a elevação gradual da cápsula.</w:t>
      </w:r>
    </w:p>
    <w:p w14:paraId="6A846472" w14:textId="0EFA5829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A concentração de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medida, revela que houve uma variação considerável em estágios mais próximos à superfície, atingindo valores em torno de 700 </w:t>
      </w:r>
      <w:proofErr w:type="spellStart"/>
      <w:r>
        <w:rPr>
          <w:sz w:val="22"/>
          <w:szCs w:val="22"/>
        </w:rPr>
        <w:t>ppm</w:t>
      </w:r>
      <w:proofErr w:type="spellEnd"/>
      <w:r>
        <w:rPr>
          <w:sz w:val="22"/>
          <w:szCs w:val="22"/>
        </w:rPr>
        <w:t xml:space="preserve"> em algumas situações. As medições apresentaram convergência para valores menores, à medida que a cápsula ating</w:t>
      </w:r>
      <w:r w:rsidR="007F06B4">
        <w:rPr>
          <w:sz w:val="22"/>
          <w:szCs w:val="22"/>
        </w:rPr>
        <w:t>iu</w:t>
      </w:r>
      <w:r>
        <w:rPr>
          <w:sz w:val="22"/>
          <w:szCs w:val="22"/>
        </w:rPr>
        <w:t xml:space="preserve"> maiores altitudes, isso é explicado pelo fato </w:t>
      </w:r>
      <w:r w:rsidR="002015B6">
        <w:rPr>
          <w:sz w:val="22"/>
          <w:szCs w:val="22"/>
        </w:rPr>
        <w:t>de o</w:t>
      </w:r>
      <w:r>
        <w:rPr>
          <w:sz w:val="22"/>
          <w:szCs w:val="22"/>
        </w:rPr>
        <w:t xml:space="preserve"> gás ser bastante pesado e, portanto, se acumular em estágios inferiores da atmosfera. O gráfico da Figura 3(b) também apresenta concentrações acima de 400 </w:t>
      </w:r>
      <w:proofErr w:type="spellStart"/>
      <w:r>
        <w:rPr>
          <w:sz w:val="22"/>
          <w:szCs w:val="22"/>
        </w:rPr>
        <w:t>ppm</w:t>
      </w:r>
      <w:proofErr w:type="spellEnd"/>
      <w:r>
        <w:rPr>
          <w:sz w:val="22"/>
          <w:szCs w:val="22"/>
        </w:rPr>
        <w:t xml:space="preserve"> (valor adotado como referência) lidas em altitudes de 20-25km, esse fato pode indicar um </w:t>
      </w:r>
      <w:r w:rsidRPr="00A67ABD">
        <w:rPr>
          <w:sz w:val="22"/>
          <w:szCs w:val="22"/>
        </w:rPr>
        <w:t>aumento</w:t>
      </w:r>
      <w:r>
        <w:rPr>
          <w:sz w:val="22"/>
          <w:szCs w:val="22"/>
        </w:rPr>
        <w:t xml:space="preserve"> da concentração padrão de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na atmosfera.</w:t>
      </w:r>
    </w:p>
    <w:p w14:paraId="740E475F" w14:textId="77777777" w:rsidR="008369CE" w:rsidRDefault="008369CE">
      <w:pPr>
        <w:jc w:val="both"/>
      </w:pPr>
    </w:p>
    <w:p w14:paraId="62D4FF2C" w14:textId="77777777" w:rsidR="008369CE" w:rsidRDefault="00000000">
      <w:pPr>
        <w:ind w:right="-1"/>
        <w:jc w:val="both"/>
        <w:rPr>
          <w:sz w:val="22"/>
          <w:szCs w:val="22"/>
        </w:rPr>
      </w:pPr>
      <w:r>
        <w:rPr>
          <w:b/>
          <w:sz w:val="22"/>
          <w:szCs w:val="22"/>
        </w:rPr>
        <w:t>CONCLUSÃO</w:t>
      </w:r>
    </w:p>
    <w:p w14:paraId="204E17F9" w14:textId="77777777" w:rsidR="008369CE" w:rsidRDefault="00000000">
      <w:pPr>
        <w:tabs>
          <w:tab w:val="left" w:pos="0"/>
        </w:tabs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O índice UV das altitudes atmosféricas entre 5 e 15 km apresentou variação bastante considerável atingindo o valor 9 mesmo sob condições de insolação pouco significativas. Desse modo, observa-se uma considerável redução na eficiência da camada de ozônio na atenuação de radiação ultravioleta tipo B. </w:t>
      </w:r>
    </w:p>
    <w:p w14:paraId="6EFA6EE4" w14:textId="77777777" w:rsidR="008369CE" w:rsidRDefault="00000000">
      <w:pPr>
        <w:tabs>
          <w:tab w:val="left" w:pos="0"/>
        </w:tabs>
        <w:ind w:right="-1"/>
        <w:jc w:val="both"/>
        <w:rPr>
          <w:sz w:val="22"/>
          <w:szCs w:val="22"/>
        </w:rPr>
      </w:pPr>
      <w:r>
        <w:rPr>
          <w:sz w:val="22"/>
          <w:szCs w:val="22"/>
        </w:rPr>
        <w:tab/>
        <w:t>O CO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apresentou elevada concentração no trecho mais alto da coleta de telemetrias, entre 15-25km. Os valores acima de 400 </w:t>
      </w:r>
      <w:proofErr w:type="spellStart"/>
      <w:r>
        <w:rPr>
          <w:sz w:val="22"/>
          <w:szCs w:val="22"/>
        </w:rPr>
        <w:t>ppm</w:t>
      </w:r>
      <w:proofErr w:type="spellEnd"/>
      <w:r>
        <w:rPr>
          <w:sz w:val="22"/>
          <w:szCs w:val="22"/>
        </w:rPr>
        <w:t xml:space="preserve"> lidos revelam a alto acúmulo do gás em camadas mais altas da atmosfera, além disso, foram realizadas medições para além de 500 </w:t>
      </w:r>
      <w:proofErr w:type="spellStart"/>
      <w:r>
        <w:rPr>
          <w:sz w:val="22"/>
          <w:szCs w:val="22"/>
        </w:rPr>
        <w:t>ppm</w:t>
      </w:r>
      <w:proofErr w:type="spellEnd"/>
      <w:r>
        <w:rPr>
          <w:sz w:val="22"/>
          <w:szCs w:val="22"/>
        </w:rPr>
        <w:t xml:space="preserve"> em altitudes já consideráveis, entre 10 e 15 km. Portanto, tem-se um acúmulo maior, como previsto, nas partes mais baixas da atmosfera.</w:t>
      </w:r>
    </w:p>
    <w:p w14:paraId="187D0CF4" w14:textId="77777777" w:rsidR="008369CE" w:rsidRDefault="008369CE">
      <w:pPr>
        <w:tabs>
          <w:tab w:val="left" w:pos="0"/>
        </w:tabs>
        <w:ind w:right="-1"/>
        <w:jc w:val="both"/>
        <w:rPr>
          <w:sz w:val="22"/>
          <w:szCs w:val="22"/>
        </w:rPr>
      </w:pPr>
    </w:p>
    <w:p w14:paraId="1066A451" w14:textId="77777777" w:rsidR="008369CE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AGRADECIMENTOS</w:t>
      </w:r>
    </w:p>
    <w:p w14:paraId="4CBA6954" w14:textId="77777777" w:rsidR="008369CE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À instituição vinculada, Instituto Federal Educação, Ciência e Tecnologia de Alagoas - IFAL; aos órgãos de fomento à pesquisa vinculada ao projeto, CNPq/FAPEAL; à </w:t>
      </w:r>
      <w:proofErr w:type="spellStart"/>
      <w:r>
        <w:rPr>
          <w:sz w:val="22"/>
          <w:szCs w:val="22"/>
        </w:rPr>
        <w:t>pró-reitoria</w:t>
      </w:r>
      <w:proofErr w:type="spellEnd"/>
      <w:r>
        <w:rPr>
          <w:sz w:val="22"/>
          <w:szCs w:val="22"/>
        </w:rPr>
        <w:t xml:space="preserve"> de pesquisa, PRPPI/IFAL; e, à comissão organizadora da OBSAT, UFSCar, AEB, MCTI.</w:t>
      </w:r>
    </w:p>
    <w:p w14:paraId="2667944F" w14:textId="77777777" w:rsidR="008369CE" w:rsidRDefault="008369CE">
      <w:pPr>
        <w:jc w:val="both"/>
        <w:rPr>
          <w:sz w:val="22"/>
          <w:szCs w:val="22"/>
        </w:rPr>
      </w:pPr>
    </w:p>
    <w:p w14:paraId="6EB1578A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REFERÊNCIAS </w:t>
      </w:r>
    </w:p>
    <w:p w14:paraId="247835DB" w14:textId="77777777" w:rsidR="008369CE" w:rsidRDefault="00000000" w:rsidP="002015B6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IPMA. A RADIAÇÃO ULTRAVIOLETA. Instituto Português do Mar e da Atmosfera, 2023. Disponível em: </w:t>
      </w:r>
      <w:r>
        <w:t xml:space="preserve"> </w:t>
      </w:r>
      <w:r>
        <w:rPr>
          <w:sz w:val="22"/>
          <w:szCs w:val="22"/>
        </w:rPr>
        <w:t>https://www.ipma.pt/pt/enciclopedia/amb.atmosfera/uv/. Acesso em: 08 de julho de 2023.</w:t>
      </w:r>
    </w:p>
    <w:p w14:paraId="32B6DB9D" w14:textId="77777777" w:rsidR="008369CE" w:rsidRDefault="00000000" w:rsidP="002015B6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2"/>
          <w:szCs w:val="22"/>
        </w:rPr>
      </w:pPr>
      <w:r>
        <w:rPr>
          <w:color w:val="00000A"/>
          <w:sz w:val="22"/>
          <w:szCs w:val="22"/>
        </w:rPr>
        <w:t xml:space="preserve">Junges. A. L. </w:t>
      </w:r>
      <w:hyperlink r:id="rId13">
        <w:r>
          <w:rPr>
            <w:sz w:val="22"/>
            <w:szCs w:val="22"/>
          </w:rPr>
          <w:t>CO2 e o CFC são pesados demais para subirem até a camada de ozônio?</w:t>
        </w:r>
      </w:hyperlink>
      <w:r>
        <w:rPr>
          <w:color w:val="00000A"/>
          <w:sz w:val="22"/>
          <w:szCs w:val="22"/>
        </w:rPr>
        <w:t>. CREF, UFRGS, 2021.</w:t>
      </w:r>
      <w:r>
        <w:rPr>
          <w:sz w:val="22"/>
          <w:szCs w:val="22"/>
        </w:rPr>
        <w:t xml:space="preserve"> Disponível em: https://cref.if.ufrgs.br/?contact-pergunta=co2-e-o-cfc-sao-pesados-demais-para-subirem-ate-a-camada-de-ozonio. Acesso em: 08 de julho de 2023. </w:t>
      </w:r>
    </w:p>
    <w:p w14:paraId="2C13F3B2" w14:textId="77777777" w:rsidR="008369CE" w:rsidRDefault="00000000" w:rsidP="002015B6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2"/>
          <w:szCs w:val="22"/>
        </w:rPr>
      </w:pPr>
      <w:r>
        <w:rPr>
          <w:color w:val="00000A"/>
          <w:sz w:val="22"/>
          <w:szCs w:val="22"/>
        </w:rPr>
        <w:t>Kerr, A. S. NOTAS SOBRE POLUIÇÃO DO AR-III. E-DISCIPLINAS, USP, 2023.</w:t>
      </w:r>
      <w:r>
        <w:rPr>
          <w:sz w:val="22"/>
          <w:szCs w:val="22"/>
        </w:rPr>
        <w:t xml:space="preserve"> Disponível em: https://edisciplinas.usp.br/pluginfile.php/353624/mod_resource/content/1/polu_fotoq2013.pdf. Acesso em: 08 de julho de 2023. </w:t>
      </w:r>
    </w:p>
    <w:p w14:paraId="1478CF74" w14:textId="77777777" w:rsidR="008369CE" w:rsidRDefault="00000000" w:rsidP="002015B6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A"/>
          <w:sz w:val="22"/>
          <w:szCs w:val="22"/>
        </w:rPr>
      </w:pPr>
      <w:r>
        <w:rPr>
          <w:color w:val="00000A"/>
          <w:sz w:val="22"/>
          <w:szCs w:val="22"/>
        </w:rPr>
        <w:t>Leme, N. P. A CAMADA DE OZÔNIO. Instituto Nacional de Pesquisas Espaciais - INPE. Laboratório de Ozônio do INPE-BA. Documento informativo.</w:t>
      </w:r>
      <w:r>
        <w:rPr>
          <w:sz w:val="22"/>
          <w:szCs w:val="22"/>
        </w:rPr>
        <w:t xml:space="preserve"> </w:t>
      </w:r>
      <w:r>
        <w:rPr>
          <w:color w:val="00000A"/>
          <w:sz w:val="22"/>
          <w:szCs w:val="22"/>
        </w:rPr>
        <w:t xml:space="preserve">Disponível em:  </w:t>
      </w:r>
      <w:hyperlink r:id="rId14">
        <w:r>
          <w:rPr>
            <w:sz w:val="22"/>
            <w:szCs w:val="22"/>
          </w:rPr>
          <w:t>https://cetesb.sp.gov.br/prozonesp/wp-content/uploads/sites/16/2014/02/acamadaozonio.pdf</w:t>
        </w:r>
      </w:hyperlink>
      <w:r>
        <w:rPr>
          <w:sz w:val="22"/>
          <w:szCs w:val="22"/>
        </w:rPr>
        <w:t xml:space="preserve">. </w:t>
      </w:r>
      <w:r>
        <w:rPr>
          <w:color w:val="00000A"/>
          <w:sz w:val="22"/>
          <w:szCs w:val="22"/>
        </w:rPr>
        <w:t>Acesso em: 08 de julho de 2023.</w:t>
      </w:r>
    </w:p>
    <w:p w14:paraId="6D3487E0" w14:textId="41417AC0" w:rsidR="002015B6" w:rsidRDefault="00000000" w:rsidP="002015B6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2"/>
          <w:szCs w:val="22"/>
        </w:rPr>
      </w:pPr>
      <w:r>
        <w:rPr>
          <w:color w:val="00000A"/>
          <w:sz w:val="22"/>
          <w:szCs w:val="22"/>
        </w:rPr>
        <w:t>Pelegrini, M.; Araújo, W. R. B. Efeito Estufa e Camada de Ozônio sob a Perspectiva da Interação Radiação-Matéria e uma Abordagem dos Acordos Internacionais sobre o Clima.</w:t>
      </w:r>
      <w:r>
        <w:rPr>
          <w:sz w:val="22"/>
          <w:szCs w:val="22"/>
        </w:rPr>
        <w:t xml:space="preserve"> In: Química Nova Escola. Vol. 40, N° 2, p. 72-78, São Paulo, Brasil. </w:t>
      </w:r>
      <w:proofErr w:type="gramStart"/>
      <w:r>
        <w:rPr>
          <w:sz w:val="22"/>
          <w:szCs w:val="22"/>
        </w:rPr>
        <w:t>Maio</w:t>
      </w:r>
      <w:proofErr w:type="gramEnd"/>
      <w:r>
        <w:rPr>
          <w:sz w:val="22"/>
          <w:szCs w:val="22"/>
        </w:rPr>
        <w:t xml:space="preserve"> de 2018. Disponível em: </w:t>
      </w:r>
      <w:hyperlink r:id="rId15">
        <w:r>
          <w:rPr>
            <w:sz w:val="22"/>
            <w:szCs w:val="22"/>
          </w:rPr>
          <w:t>http://dx.doi.org/10.21577/0104-8899.20160107</w:t>
        </w:r>
      </w:hyperlink>
      <w:r>
        <w:rPr>
          <w:sz w:val="22"/>
          <w:szCs w:val="22"/>
        </w:rPr>
        <w:t>. Acesso em: 08 de julho de 2023.</w:t>
      </w:r>
    </w:p>
    <w:p w14:paraId="23CBE551" w14:textId="77777777" w:rsidR="008369CE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2"/>
          <w:szCs w:val="22"/>
        </w:rPr>
      </w:pPr>
      <w:r>
        <w:rPr>
          <w:color w:val="00000A"/>
          <w:sz w:val="22"/>
          <w:szCs w:val="22"/>
        </w:rPr>
        <w:t>Santos, J. C. dos. RADIAÇÃO ULTRAVIOLETA: ESTUDO DOS ÍNDICES DE RADIAÇÃO, CONHECIMENTO E PRÁTICA DE PREVENÇÃO A EXPOSIÇÃO NA REGIÃO ILHÉUS/ITABUNA-BAHIA.</w:t>
      </w:r>
      <w:r>
        <w:rPr>
          <w:color w:val="000000"/>
          <w:sz w:val="22"/>
          <w:szCs w:val="22"/>
        </w:rPr>
        <w:t xml:space="preserve"> Ilhéus, Bahia</w:t>
      </w:r>
      <w:r>
        <w:rPr>
          <w:sz w:val="22"/>
          <w:szCs w:val="22"/>
        </w:rPr>
        <w:t xml:space="preserve">: </w:t>
      </w:r>
      <w:r>
        <w:rPr>
          <w:color w:val="00000A"/>
          <w:sz w:val="22"/>
          <w:szCs w:val="22"/>
        </w:rPr>
        <w:t>Universidade Estadual de Santa Cruz, 2010. 174f. Dissertação (Mestrado em Desenvolvimento Regional e Meio Ambiente).</w:t>
      </w:r>
    </w:p>
    <w:sectPr w:rsidR="008369CE">
      <w:headerReference w:type="default" r:id="rId16"/>
      <w:footerReference w:type="default" r:id="rId17"/>
      <w:headerReference w:type="first" r:id="rId18"/>
      <w:footerReference w:type="first" r:id="rId19"/>
      <w:pgSz w:w="11907" w:h="16840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08B86" w14:textId="77777777" w:rsidR="000F4AD3" w:rsidRDefault="000F4AD3">
      <w:r>
        <w:separator/>
      </w:r>
    </w:p>
  </w:endnote>
  <w:endnote w:type="continuationSeparator" w:id="0">
    <w:p w14:paraId="4E41FAAB" w14:textId="77777777" w:rsidR="000F4AD3" w:rsidRDefault="000F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CE52" w14:textId="77777777" w:rsidR="008369CE" w:rsidRDefault="008369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87" w:type="dxa"/>
      <w:tblInd w:w="-108" w:type="dxa"/>
      <w:tblLayout w:type="fixed"/>
      <w:tblLook w:val="0000" w:firstRow="0" w:lastRow="0" w:firstColumn="0" w:lastColumn="0" w:noHBand="0" w:noVBand="0"/>
    </w:tblPr>
    <w:tblGrid>
      <w:gridCol w:w="3566"/>
      <w:gridCol w:w="5721"/>
    </w:tblGrid>
    <w:tr w:rsidR="008369CE" w14:paraId="1F8BE5DB" w14:textId="77777777">
      <w:trPr>
        <w:trHeight w:val="849"/>
      </w:trPr>
      <w:tc>
        <w:tcPr>
          <w:tcW w:w="3566" w:type="dxa"/>
          <w:vAlign w:val="center"/>
        </w:tcPr>
        <w:p w14:paraId="51E7E76B" w14:textId="77777777" w:rsidR="008369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562936E" wp14:editId="21BEB7C8">
                <wp:extent cx="2154555" cy="447040"/>
                <wp:effectExtent l="0" t="0" r="0" b="0"/>
                <wp:docPr id="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4555" cy="447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1" w:type="dxa"/>
          <w:vAlign w:val="center"/>
        </w:tcPr>
        <w:p w14:paraId="48A5E696" w14:textId="77777777" w:rsidR="008369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2C9D3ED0" wp14:editId="277F6C29">
                <wp:extent cx="3540760" cy="333375"/>
                <wp:effectExtent l="0" t="0" r="0" b="0"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076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4FDC279" w14:textId="77777777" w:rsidR="008369CE" w:rsidRDefault="008369C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979CE" w14:textId="77777777" w:rsidR="008369CE" w:rsidRDefault="008369C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287" w:type="dxa"/>
      <w:tblInd w:w="-108" w:type="dxa"/>
      <w:tblLayout w:type="fixed"/>
      <w:tblLook w:val="0000" w:firstRow="0" w:lastRow="0" w:firstColumn="0" w:lastColumn="0" w:noHBand="0" w:noVBand="0"/>
    </w:tblPr>
    <w:tblGrid>
      <w:gridCol w:w="3566"/>
      <w:gridCol w:w="5721"/>
    </w:tblGrid>
    <w:tr w:rsidR="008369CE" w14:paraId="2147A6BD" w14:textId="77777777">
      <w:trPr>
        <w:trHeight w:val="849"/>
      </w:trPr>
      <w:tc>
        <w:tcPr>
          <w:tcW w:w="3566" w:type="dxa"/>
          <w:vAlign w:val="center"/>
        </w:tcPr>
        <w:p w14:paraId="2AA2B8C4" w14:textId="77777777" w:rsidR="008369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1B29C810" wp14:editId="2CECBDEB">
                <wp:extent cx="2154555" cy="447040"/>
                <wp:effectExtent l="0" t="0" r="0" b="0"/>
                <wp:docPr id="7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4555" cy="447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1" w:type="dxa"/>
          <w:vAlign w:val="center"/>
        </w:tcPr>
        <w:p w14:paraId="3F970FD8" w14:textId="77777777" w:rsidR="008369C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113EAB61" wp14:editId="2C4154E6">
                <wp:extent cx="3540760" cy="333375"/>
                <wp:effectExtent l="0" t="0" r="0" b="0"/>
                <wp:docPr id="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076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4D46F42" w14:textId="77777777" w:rsidR="008369CE" w:rsidRDefault="008369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84A9" w14:textId="77777777" w:rsidR="000F4AD3" w:rsidRDefault="000F4AD3">
      <w:r>
        <w:separator/>
      </w:r>
    </w:p>
  </w:footnote>
  <w:footnote w:type="continuationSeparator" w:id="0">
    <w:p w14:paraId="6190DC0B" w14:textId="77777777" w:rsidR="000F4AD3" w:rsidRDefault="000F4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4CB4" w14:textId="77777777" w:rsidR="008369CE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06D0A1C4" wp14:editId="0CDA7FB9">
          <wp:extent cx="3628390" cy="760730"/>
          <wp:effectExtent l="0" t="0" r="0" b="0"/>
          <wp:docPr id="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8390" cy="760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7CB663E" w14:textId="77777777" w:rsidR="008369CE" w:rsidRDefault="008369C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CC8CA" w14:textId="77777777" w:rsidR="008369CE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5E651604" wp14:editId="670A8F56">
          <wp:extent cx="3628390" cy="760730"/>
          <wp:effectExtent l="0" t="0" r="0" b="0"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8390" cy="760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3FD36F" w14:textId="77777777" w:rsidR="008369CE" w:rsidRDefault="008369C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1F26"/>
    <w:multiLevelType w:val="multilevel"/>
    <w:tmpl w:val="6B46F1EC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CAB2A9E"/>
    <w:multiLevelType w:val="hybridMultilevel"/>
    <w:tmpl w:val="43EE5E32"/>
    <w:lvl w:ilvl="0" w:tplc="DDBE7566">
      <w:start w:val="1"/>
      <w:numFmt w:val="lowerLetter"/>
      <w:lvlText w:val="(%1)"/>
      <w:lvlJc w:val="left"/>
      <w:pPr>
        <w:ind w:left="4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203643693">
    <w:abstractNumId w:val="0"/>
  </w:num>
  <w:num w:numId="2" w16cid:durableId="195394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CE"/>
    <w:rsid w:val="000F4AD3"/>
    <w:rsid w:val="002015B6"/>
    <w:rsid w:val="003930B5"/>
    <w:rsid w:val="005F517A"/>
    <w:rsid w:val="007F06B4"/>
    <w:rsid w:val="008369CE"/>
    <w:rsid w:val="00A67ABD"/>
    <w:rsid w:val="00F63BD7"/>
    <w:rsid w:val="00FF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D0682"/>
  <w15:docId w15:val="{34BAB51A-174D-4698-AEC4-463636A3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93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cref.if.ufrgs.br/?contact-pergunta=co2-e-o-cfc-sao-pesados-demais-para-subirem-ate-a-camada-de-ozonio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dx.doi.org/10.21577/0104-8899.20160107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etesb.sp.gov.br/prozonesp/wp-content/uploads/sites/16/2014/02/acamadaozonio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2603</Words>
  <Characters>14061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Arthur Pereira</cp:lastModifiedBy>
  <cp:revision>7</cp:revision>
  <dcterms:created xsi:type="dcterms:W3CDTF">2023-07-09T11:37:00Z</dcterms:created>
  <dcterms:modified xsi:type="dcterms:W3CDTF">2023-07-09T12:13:00Z</dcterms:modified>
</cp:coreProperties>
</file>